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/>
        <w:jc w:val="right"/>
        <w:rPr>
          <w:rFonts w:ascii="Garamond" w:hAnsi="Garamond"/>
          <w:i/>
          <w:i/>
        </w:rPr>
      </w:pPr>
      <w:r>
        <w:rPr>
          <w:rFonts w:ascii="Garamond" w:hAnsi="Garamond"/>
          <w:i/>
        </w:rPr>
        <w:t>Warszawa, 26 stycznia 2022 roku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</w:r>
    </w:p>
    <w:p>
      <w:pPr>
        <w:pStyle w:val="Normal"/>
        <w:spacing w:lineRule="auto" w:line="276"/>
        <w:jc w:val="center"/>
        <w:rPr>
          <w:rFonts w:ascii="Garamond" w:hAnsi="Garamond"/>
          <w:b/>
          <w:b/>
          <w:sz w:val="32"/>
        </w:rPr>
      </w:pPr>
      <w:r>
        <w:rPr>
          <w:rFonts w:ascii="Garamond" w:hAnsi="Garamond"/>
          <w:b/>
          <w:sz w:val="32"/>
        </w:rPr>
        <w:t xml:space="preserve">Nauka zdalna do końca ferii zimowych </w:t>
        <w:br/>
        <w:t>– rozporządzenie podpisane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  <w:b/>
        </w:rPr>
        <w:t xml:space="preserve">Od 27 stycznia 2022 r. do 27 lutego 2022 r. uczniowie szkół podstawowych klas V-VIII i uczniowie szkół ponadpodstawowych przechodzą na naukę zdalną. Zdalnie pracować będą również placówki kształcenia ustawicznego i centra kształcenia zawodowego. Uczniowie z klas I-IV szkół podstawowych i przedszkolaki kontynuują naukę w trybie stacjonarnym. Minister Edukacji i Nauki podpisał rozporządzenie w tej sprawie. </w:t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Przedłużający się okres trwania pandemii COVID-19 powoduje konieczność przygotowania szczególnych rozwiązań, które umożliwią realizację przez szkoły ich zadań statutowych. Z uwagi na rosnącą w ostatnich dniach liczbę zachorowań konieczne jest czasowe ograniczenie nauki stacjonarnej. Bez zmian pozostają terminy rozpoczęcia i zakończenia ferii zimowych w poszczególnych województwach w roku szkolnym 2021/2022.</w:t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Szkoły i placówki artystyczne</w:t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Szkoły artystyczne realizujące wyłącznie kształcenie artystyczne, placówki artystyczne, szkoły artystyczne realizujące kształcenie ogólne w zakresie szkoły podstawowej w klasach V-VIII lub liceum ogólnokształcącego przechodzą na tryb nauki zdalnej. 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Szkoły specjalne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>
        <w:rPr>
          <w:rFonts w:ascii="Garamond" w:hAnsi="Garamond"/>
          <w:color w:val="000000"/>
        </w:rPr>
        <w:t xml:space="preserve">podstawowych specjalnych </w:t>
      </w:r>
      <w:r>
        <w:rPr>
          <w:rFonts w:ascii="Garamond" w:hAnsi="Garamond"/>
        </w:rPr>
        <w:t>(klasy V</w:t>
      </w:r>
      <w:r>
        <w:rPr>
          <w:rFonts w:eastAsia="Symbol" w:cs="Symbol" w:ascii="Symbol" w:hAnsi="Symbol"/>
        </w:rPr>
        <w:t></w:t>
      </w:r>
      <w:r>
        <w:rPr>
          <w:rFonts w:ascii="Garamond" w:hAnsi="Garamond"/>
        </w:rPr>
        <w:t xml:space="preserve">VIII), a także </w:t>
      </w:r>
      <w:r>
        <w:rPr>
          <w:rFonts w:ascii="Garamond" w:hAnsi="Garamond"/>
          <w:color w:val="FF0000"/>
        </w:rPr>
        <w:t>w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color w:val="000000"/>
        </w:rPr>
        <w:t xml:space="preserve">szkołach ponadpodstawowych specjalnych, w tym funkcjonujących w specjalnych ośrodkach szkolno-wychowawczych oraz zorganizowanych w podmiotach leczniczych i jednostkach pomocy społecznej, zajęcia będą mogły być prowadzone stacjonarnie. </w:t>
      </w:r>
      <w:r>
        <w:rPr>
          <w:rFonts w:ascii="Garamond" w:hAnsi="Garamond"/>
        </w:rPr>
        <w:t xml:space="preserve">Ostateczną decyzję w tym zakresie podejmie dyrektor.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  <w:color w:val="000000"/>
        </w:rPr>
      </w:pPr>
      <w:r>
        <w:rPr>
          <w:rFonts w:ascii="Garamond" w:hAnsi="Garamond"/>
          <w:b/>
          <w:color w:val="000000"/>
        </w:rPr>
        <w:t>MOW, MOS, poradnie psychologiczno-pedagogiczne, zajęcia rewalidacyjne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dotychczasowych zasadach będą pracowały młodzieżowe ośrodki wychowawcze, młodzieżowe ośrodki socjoterapii, ośrodki rewalidacyjno-wychowawcze, specjalne ośrodki wychowawcze i poradnie psychologiczno-pedagogiczne ze względu na konieczność zapewnienia ciągłości realizacji zajęć wczesnego wspomagania rozwoju dziecka, kształcenia specjalnego, w tym realizacji zajęć rewalidacyjnych, resocjalizacyjnych i socjoterapeutycznych oraz zajęć rewalidacyjno-wychowawczych w bezpośrednim kontakcie z dzieckiem i uczniem.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Zajęcia szkolne dla uczniów z niepełnosprawnościami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  <w:color w:val="000000"/>
        </w:rPr>
        <w:t xml:space="preserve">W przypadku szkół, których funkcjonowanie zostało ograniczone – w odniesieniu do uczniów, którzy z uwagi na rodzaj niepełnosprawności nie będą mogli realizować zajęć w miejscu zamieszkania – dyrektor jest zobowiązany do zorganizowania zajęć stacjonarnie na terenie szkoły lub z wykorzystaniem metod i technik kształcenia na odległość – w budynku szkoły.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Bursy, internaty, placówki oświatowo-wychowawcze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Burs i internaty będą działały na dotychczasowych zasadach. </w:t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Konsultacje dla uczniów przygotowujących się do tegorocznych egzaminów ósmoklasisty i maturalnego</w:t>
      </w:r>
    </w:p>
    <w:p>
      <w:pPr>
        <w:pStyle w:val="USTustnpkodeksu"/>
        <w:spacing w:lineRule="auto" w:line="276"/>
        <w:ind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Pozostawiono możliwość zorganizowania konsultacji na terenie szkoły dla uczniów przygotowujących się do egzaminu odpowiednio ósmoklasisty czy maturalnego. Dyrektor szkoły może zapewnić w szkole konsultacje indywidualne lub grupowe z nauczycielem prowadzącym zajęcia edukacyjne z przedmiotów, z których uczeń przystępuje do egzaminu ósmoklasisty lub egzaminu maturalnego. Udział w konsultacjach jest dobrowolny. Organizacja konsultacji jest uzależniona od potrzeb uczniów, a także warunków pracy szkoły. </w:t>
      </w:r>
    </w:p>
    <w:p>
      <w:pPr>
        <w:pStyle w:val="USTustnpkodeksu"/>
        <w:spacing w:lineRule="auto" w:line="276"/>
        <w:ind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USTustnpkodeksu"/>
        <w:spacing w:lineRule="auto" w:line="276"/>
        <w:ind w:hanging="0"/>
        <w:rPr>
          <w:rFonts w:ascii="Garamond" w:hAnsi="Garamond" w:cs="Times New Roman"/>
        </w:rPr>
      </w:pPr>
      <w:r>
        <w:rPr>
          <w:rFonts w:cs="Times New Roman" w:ascii="Garamond" w:hAnsi="Garamond"/>
        </w:rPr>
        <w:t>Uczeń przygotowujący się do egzaminu ósmoklasisty lub maturalnego powinien mieć możliwość wyjaśnienia trudnych kwestii, usystematyzowania materiału czy rozmowy z nauczycielem. Dodatkowo, w ramach konsultacji, dyrektor szkoły może zorganizować w szkole testy sprawdzające poziom przygotowania uczniów do egzaminu ósmoklasisty lub egzaminu maturalnego.</w:t>
      </w:r>
    </w:p>
    <w:p>
      <w:pPr>
        <w:pStyle w:val="USTustnpkodeksu"/>
        <w:spacing w:lineRule="auto" w:line="276"/>
        <w:ind w:hanging="0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 xml:space="preserve">Zajęcia praktyczne i praktyki zawodowe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Ze względu na specyfikę kształcenia zawodowego dyrektorzy szkół prowadzących kształcenie zawodowe, centrów kształcenia zawodowego oraz placówek kształcenia ustawicznego będą mogli zorganizować zajęcia praktyczne w miejscu ich prowadzenia (stacjonarnie). Zajęcia te będą odbywać się w wybranych dniach tygodnia, a wymiar tych zajęć nie może przekroczyć 16 godzin tygodniowo.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Możliwe jest również odbywanie praktyk zawodowych stacjonarnie, w miejscu ich prowadzenia. Jednocześnie zachowana została również możliwość zrealizowania praktyk zawodowych w innych formach wprowadzonych w okresie pandemii (np. w formule wirtualnego przedsiębiorstwa lub projektu edukacyjnego).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Zajęcia z zakresu praktycznej nauki zawodu (zajęcia praktyczne i praktyki zawodowe) mogą być prowadzone stacjonarnie u pracodawców lub w indywidualnych gospodarstwach rolnych, o ile w podmiotach tych nie występują zdarzenia, które ze względu na aktualną sytuację epidemiologiczną mogą zagrozić zdrowiu uczniów.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Przewidziane rozwiązania mają również zastosowanie do kształcenia praktycznego realizowanego w ramach kształcenia ustawicznego w formach pozaszkolnych. 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Zajęcia praktyczne młodocianych pracowników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Uczniowie wszystkich klas branżowych szkół I stopnia, będący młodocianymi pracownikami, będą realizowali zajęcia praktyczne u pracodawców w pełnym wymiarze godzin, o ile u pracodawcy nie występują zdarzenia, które ze względu na aktualną sytuację epidemiologiczną mogą zagrozić zdrowiu młodocianego pracownika. </w:t>
      </w:r>
    </w:p>
    <w:p>
      <w:pPr>
        <w:pStyle w:val="Normal"/>
        <w:spacing w:lineRule="auto" w:line="276" w:before="120" w:after="12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cs="Times New Roman" w:ascii="Garamond" w:hAnsi="Garamond"/>
          <w:b/>
        </w:rPr>
        <w:t>Turnusy dla młodocianych pracowników</w:t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 xml:space="preserve">Turnusy dokształcania teoretycznego młodocianych pracowników, które rozpoczęły się przed 27 stycznia 2022 roku i nie były prowadzone zdalnie (zgodnie z przepisami wydanymi na podstawie </w:t>
      </w:r>
      <w:r>
        <w:rPr>
          <w:rFonts w:cs="Times New Roman" w:ascii="Garamond" w:hAnsi="Garamond"/>
          <w:i/>
        </w:rPr>
        <w:t>art. 30c ustawy z dnia 14 grudnia 2016 r. – Prawo oświatowe</w:t>
      </w:r>
      <w:r>
        <w:rPr>
          <w:rFonts w:cs="Times New Roman" w:ascii="Garamond" w:hAnsi="Garamond"/>
        </w:rPr>
        <w:t>), będą mogły być realizowane w miejscu ich prowadzenia, aż do czasu ich zakończenia. Natomiast turnusy, które rozpoczęły się w okresie od 27 stycznia do 27 lutego br., mogą być nadal prowadzone zdalnie.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 w:before="120" w:after="120"/>
        <w:jc w:val="both"/>
        <w:rPr>
          <w:rFonts w:ascii="Garamond" w:hAnsi="Garamond"/>
          <w:b/>
          <w:b/>
        </w:rPr>
      </w:pPr>
      <w:r>
        <w:rPr>
          <w:rFonts w:ascii="Garamond" w:hAnsi="Garamond"/>
          <w:b/>
        </w:rPr>
        <w:t>Konsultacje dla uczniów i słuchaczy szkół i placówek prowadzących kształcenie zawodowe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  <w:t>W przypadku szkół prowadzących kształcenie zawodowe, centrów k</w:t>
      </w:r>
      <w:bookmarkStart w:id="0" w:name="_GoBack"/>
      <w:bookmarkEnd w:id="0"/>
      <w:r>
        <w:rPr>
          <w:rFonts w:ascii="Garamond" w:hAnsi="Garamond"/>
        </w:rPr>
        <w:t>ształcenia zawodowego oraz placówek kształcenia ustawicznego –  dla uczniów i słuchaczy, którzy przystępują odpowiednio do egzaminu zawodowego lub egzaminu potwierdzającego kwalifikacje w zawodzie w sesji styczeń-luty 2022 – dyrektor będzie mógł zorganizować konsultacje indywidualne lub grupowe z nauczycielem prowadzącym zajęcia edukacyjne z przedmiotów, z których uczeń przystępuje do egzaminu.</w:t>
      </w:r>
    </w:p>
    <w:p>
      <w:pPr>
        <w:pStyle w:val="Normal"/>
        <w:spacing w:lineRule="auto" w:line="276" w:before="120" w:after="120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>Egzamin dyplomowy w szkole artystycznej</w:t>
      </w:r>
    </w:p>
    <w:p>
      <w:pPr>
        <w:pStyle w:val="Menfont"/>
        <w:spacing w:lineRule="auto" w:line="276" w:before="0" w:after="120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  <w:t>W klasie programowo najwyższej szkoły artystycznej, w której jest przeprowadzany egzamin dyplomowy lub egzamin końcowy, dyrektor może zapewnić w szkole konsultacje indywidualne lub grupowe z nauczycielem prowadzącym zajęcia edukacyjne artystyczne z przedmiotów, z których uczeń przystępuje odpowiednio do egzaminu dyplomowego lub egzaminu końcowego.</w:t>
      </w:r>
    </w:p>
    <w:p>
      <w:pPr>
        <w:pStyle w:val="Menfont"/>
        <w:spacing w:lineRule="auto" w:line="276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Menfont"/>
        <w:spacing w:lineRule="auto" w:line="276"/>
        <w:jc w:val="both"/>
        <w:rPr>
          <w:rFonts w:ascii="Garamond" w:hAnsi="Garamond" w:cs="Times New Roman"/>
          <w:b/>
          <w:b/>
        </w:rPr>
      </w:pPr>
      <w:r>
        <w:rPr>
          <w:rFonts w:cs="Times New Roman" w:ascii="Garamond" w:hAnsi="Garamond"/>
          <w:b/>
        </w:rPr>
        <w:t xml:space="preserve">Olimpiady, konkursy i turnieje </w:t>
      </w:r>
    </w:p>
    <w:p>
      <w:pPr>
        <w:pStyle w:val="Menfont"/>
        <w:spacing w:lineRule="auto" w:line="276"/>
        <w:jc w:val="both"/>
        <w:rPr>
          <w:rFonts w:ascii="Garamond" w:hAnsi="Garamond" w:cs="Times New Roman"/>
        </w:rPr>
      </w:pPr>
      <w:r>
        <w:rPr>
          <w:rFonts w:cs="Times New Roman" w:ascii="Garamond" w:hAnsi="Garamond"/>
        </w:rPr>
      </w:r>
    </w:p>
    <w:p>
      <w:pPr>
        <w:pStyle w:val="Menfont"/>
        <w:spacing w:lineRule="auto" w:line="276"/>
        <w:jc w:val="both"/>
        <w:rPr>
          <w:rFonts w:ascii="Garamond" w:hAnsi="Garamond" w:cs="Times New Roman"/>
          <w:i/>
          <w:i/>
        </w:rPr>
      </w:pPr>
      <w:r>
        <w:rPr>
          <w:rFonts w:cs="Times New Roman" w:ascii="Garamond" w:hAnsi="Garamond"/>
        </w:rPr>
        <w:t xml:space="preserve">Za zgodą dyrektora szkoły, centrum lub placówki uczniowie mogą brać udział w trybie stacjonarnym w konkursach, olimpiadach i turniejach przeprowadzanych na podstawie </w:t>
      </w:r>
      <w:r>
        <w:rPr>
          <w:rFonts w:cs="Times New Roman" w:ascii="Garamond" w:hAnsi="Garamond"/>
          <w:i/>
        </w:rPr>
        <w:t xml:space="preserve">art. 22 ust. 2 pkt 8 oraz art. 22 ust 6 ustawy z dnia 7 września 1991 r. o systemie oświaty. </w:t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</w:r>
    </w:p>
    <w:p>
      <w:pPr>
        <w:pStyle w:val="Normal"/>
        <w:spacing w:lineRule="auto" w:line="276"/>
        <w:jc w:val="both"/>
        <w:rPr>
          <w:rFonts w:ascii="Garamond" w:hAnsi="Garamond"/>
          <w:lang w:eastAsia="en-US"/>
        </w:rPr>
      </w:pPr>
      <w:r>
        <w:rPr>
          <w:rFonts w:ascii="Garamond" w:hAnsi="Garamond"/>
        </w:rPr>
        <w:t>Rozporządzenie</w:t>
      </w:r>
      <w:r>
        <w:rPr>
          <w:rFonts w:ascii="Garamond" w:hAnsi="Garamond"/>
          <w:lang w:eastAsia="en-US"/>
        </w:rPr>
        <w:t xml:space="preserve"> wchodzi w życie 27 stycznia 2022 r.</w:t>
      </w:r>
    </w:p>
    <w:p>
      <w:pPr>
        <w:pStyle w:val="Normal"/>
        <w:spacing w:lineRule="auto" w:line="276"/>
        <w:jc w:val="both"/>
        <w:rPr>
          <w:rFonts w:ascii="Garamond" w:hAnsi="Garamond"/>
          <w:lang w:eastAsia="en-US"/>
        </w:rPr>
      </w:pPr>
      <w:r>
        <w:rPr>
          <w:rFonts w:ascii="Garamond" w:hAnsi="Garamond"/>
          <w:lang w:eastAsia="en-US"/>
        </w:rPr>
      </w:r>
    </w:p>
    <w:p>
      <w:pPr>
        <w:pStyle w:val="Normal"/>
        <w:spacing w:lineRule="auto" w:line="276"/>
        <w:jc w:val="both"/>
        <w:rPr>
          <w:rFonts w:ascii="Garamond" w:hAnsi="Garamond"/>
          <w:i/>
          <w:i/>
        </w:rPr>
      </w:pPr>
      <w:r>
        <w:rPr>
          <w:rFonts w:ascii="Garamond" w:hAnsi="Garamond"/>
          <w:b/>
        </w:rPr>
        <w:t>Podstawa prawna: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i/>
        </w:rPr>
        <w:t>Rozporządzenie Ministra Edukacji i Nauki w sprawie czasowego ograniczenia funkcjonowania jednostek systemu oświaty w związku z zapobieganiem, przeciwdziałaniem i zwalczaniem COVID-19. Projekt skierowany do publikacji w Dzienniku Ustaw.</w:t>
      </w:r>
    </w:p>
    <w:p>
      <w:pPr>
        <w:pStyle w:val="Normal"/>
        <w:spacing w:lineRule="auto" w:line="276"/>
        <w:jc w:val="both"/>
        <w:rPr>
          <w:rFonts w:ascii="Garamond" w:hAnsi="Garamond"/>
          <w:i/>
          <w:i/>
        </w:rPr>
      </w:pPr>
      <w:r>
        <w:rPr>
          <w:rFonts w:ascii="Garamond" w:hAnsi="Garamond"/>
          <w:i/>
        </w:rPr>
      </w:r>
    </w:p>
    <w:p>
      <w:pPr>
        <w:pStyle w:val="Normal"/>
        <w:spacing w:lineRule="auto" w:line="27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Wydział Prasowy </w:t>
      </w:r>
    </w:p>
    <w:p>
      <w:pPr>
        <w:pStyle w:val="Normal"/>
        <w:spacing w:lineRule="auto" w:line="276"/>
        <w:jc w:val="both"/>
        <w:rPr>
          <w:rFonts w:ascii="Garamond" w:hAnsi="Garamond"/>
          <w:b/>
          <w:b/>
        </w:rPr>
      </w:pPr>
      <w:r>
        <w:rPr>
          <w:rFonts w:ascii="Garamond" w:hAnsi="Garamond"/>
        </w:rPr>
        <w:t>Ministerstwo Edukacji i Nauki</w:t>
      </w:r>
    </w:p>
    <w:sectPr>
      <w:headerReference w:type="first" r:id="rId2"/>
      <w:footerReference w:type="default" r:id="rId3"/>
      <w:footerReference w:type="first" r:id="rId4"/>
      <w:type w:val="nextPage"/>
      <w:pgSz w:w="11906" w:h="16838"/>
      <w:pgMar w:left="1701" w:right="1701" w:header="850" w:top="850" w:footer="737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Tahoma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">
    <w:altName w:val="Times New Roman"/>
    <w:charset w:val="ee"/>
    <w:family w:val="roman"/>
    <w:pitch w:val="variable"/>
  </w:font>
  <w:font w:name="Garamond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35756967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Stopka"/>
      <w:spacing w:before="120" w:after="0"/>
      <w:jc w:val="center"/>
      <w:rPr>
        <w:rFonts w:ascii="Cambria" w:hAnsi="Cambria"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 w:ascii="Cambria" w:hAnsi="Cambria"/>
        <w:color w:val="7F7F7F" w:themeColor="text1" w:themeTint="80"/>
        <w:sz w:val="18"/>
        <w:szCs w:val="18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120" w:after="0"/>
      <w:jc w:val="center"/>
      <w:rPr>
        <w:rFonts w:ascii="Cambria" w:hAnsi="Cambria" w:asciiTheme="majorHAnsi" w:hAnsiTheme="majorHAnsi"/>
        <w:color w:val="7F7F7F" w:themeColor="text1" w:themeTint="80"/>
        <w:sz w:val="18"/>
        <w:szCs w:val="18"/>
      </w:rPr>
    </w:pPr>
    <w:r>
      <w:rPr>
        <w:rFonts w:ascii="Cambria" w:hAnsi="Cambria"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="Cambria" w:hAnsi="Cambria" w:asciiTheme="majorHAnsi" w:hAnsiTheme="majorHAnsi"/>
        <w:color w:val="7F7F7F" w:themeColor="text1" w:themeTint="80"/>
        <w:sz w:val="18"/>
        <w:szCs w:val="18"/>
      </w:rPr>
      <w:t>: tel. 783920628</w:t>
      <w:br/>
    </w:r>
    <w:r>
      <w:rPr>
        <w:rFonts w:ascii="Cambria" w:hAnsi="Cambria"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="Cambria" w:hAnsi="Cambria" w:asciiTheme="majorHAnsi" w:hAnsiTheme="majorHAnsi"/>
        <w:color w:val="7F7F7F" w:themeColor="text1" w:themeTint="80"/>
        <w:sz w:val="18"/>
        <w:szCs w:val="18"/>
      </w:rPr>
      <w:t>: tel. 667-633-553, 22 34-74-719, 22 -34-74-139, 22 34-74-457</w:t>
      <w:br/>
      <w:t xml:space="preserve">e-mail: biuro.prasowe@mein.gov.pl  </w:t>
    </w:r>
  </w:p>
  <w:p>
    <w:pPr>
      <w:pStyle w:val="Stopka"/>
      <w:spacing w:before="120" w:after="0"/>
      <w:jc w:val="center"/>
      <w:rPr>
        <w:rFonts w:ascii="Cambria" w:hAnsi="Cambria" w:asciiTheme="majorHAnsi" w:hAnsiTheme="majorHAnsi"/>
        <w:color w:val="7F7F7F" w:themeColor="text1" w:themeTint="80"/>
        <w:sz w:val="18"/>
        <w:szCs w:val="18"/>
      </w:rPr>
    </w:pPr>
    <w:r>
      <w:rPr>
        <w:rFonts w:ascii="Cambria" w:hAnsi="Cambria"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20"/>
      <w:jc w:val="center"/>
      <w:rPr>
        <w:rFonts w:ascii="Cambria" w:hAnsi="Cambria" w:asciiTheme="majorHAnsi" w:hAnsiTheme="majorHAnsi"/>
        <w:color w:val="7F7F7F" w:themeColor="text1" w:themeTint="80"/>
        <w:sz w:val="36"/>
        <w:szCs w:val="26"/>
      </w:rPr>
    </w:pPr>
    <w:r>
      <w:rPr>
        <w:rFonts w:ascii="Cambria" w:hAnsi="Cambria" w:asciiTheme="majorHAnsi" w:hAnsiTheme="majorHAnsi"/>
        <w:color w:val="7F7F7F" w:themeColor="text1" w:themeTint="80"/>
        <w:sz w:val="36"/>
      </w:rPr>
      <w:t>MINISTERSTWO EDUKACJI I NAUKI</w:t>
    </w:r>
  </w:p>
  <w:p>
    <w:pPr>
      <w:pStyle w:val="Gwka"/>
      <w:spacing w:before="120" w:after="120"/>
      <w:jc w:val="center"/>
      <w:rPr>
        <w:rFonts w:ascii="Cambria" w:hAnsi="Cambria" w:asciiTheme="majorHAnsi" w:hAnsiTheme="majorHAnsi"/>
        <w:color w:val="7F7F7F" w:themeColor="text1" w:themeTint="80"/>
        <w:szCs w:val="18"/>
      </w:rPr>
    </w:pPr>
    <w:r>
      <w:rPr>
        <w:rFonts w:ascii="Cambria" w:hAnsi="Cambria" w:asciiTheme="majorHAnsi" w:hAnsiTheme="majorHAnsi"/>
        <w:color w:val="7F7F7F" w:themeColor="text1" w:themeTint="80"/>
        <w:szCs w:val="18"/>
      </w:rPr>
      <w:t>Biuro Ministra</w:t>
    </w:r>
  </w:p>
  <w:p>
    <w:pPr>
      <w:pStyle w:val="Gwka"/>
      <w:spacing w:before="120" w:after="120"/>
      <w:jc w:val="center"/>
      <w:rPr>
        <w:rFonts w:ascii="Cambria" w:hAnsi="Cambria" w:asciiTheme="majorHAnsi" w:hAnsiTheme="majorHAnsi"/>
        <w:color w:val="7F7F7F" w:themeColor="text1" w:themeTint="80"/>
        <w:szCs w:val="18"/>
      </w:rPr>
    </w:pPr>
    <w:r>
      <w:rPr>
        <w:rFonts w:ascii="Cambria" w:hAnsi="Cambria" w:asciiTheme="majorHAnsi" w:hAnsiTheme="majorHAnsi"/>
        <w:color w:val="7F7F7F" w:themeColor="text1" w:themeTint="80"/>
        <w:szCs w:val="18"/>
      </w:rPr>
      <w:t>WYDZIAŁ PRASOWY</w:t>
    </w:r>
  </w:p>
  <w:p>
    <w:pPr>
      <w:pStyle w:val="Gwka"/>
      <w:spacing w:before="120" w:after="120"/>
      <w:jc w:val="center"/>
      <w:rPr>
        <w:rFonts w:ascii="Cambria" w:hAnsi="Cambria" w:asciiTheme="majorHAnsi" w:hAnsiTheme="majorHAnsi"/>
        <w:color w:val="7F7F7F" w:themeColor="text1" w:themeTint="80"/>
        <w:sz w:val="32"/>
        <w:szCs w:val="18"/>
      </w:rPr>
    </w:pPr>
    <w:r>
      <w:rPr>
        <w:rFonts w:asciiTheme="majorHAnsi" w:hAnsiTheme="majorHAnsi" w:ascii="Cambria" w:hAnsi="Cambria"/>
        <w:color w:val="7F7F7F" w:themeColor="text1" w:themeTint="80"/>
        <w:sz w:val="32"/>
        <w:szCs w:val="18"/>
      </w:rPr>
    </w:r>
  </w:p>
</w:hdr>
</file>

<file path=word/settings.xml><?xml version="1.0" encoding="utf-8"?>
<w:settings xmlns:w="http://schemas.openxmlformats.org/wordprocessingml/2006/main">
  <w:zoom w:percent="13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0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Arial" w:hAnsi="Arial" w:cs="Arial" w:eastAsia="Times New Roman"/>
      <w:color w:val="auto"/>
      <w:kern w:val="0"/>
      <w:sz w:val="24"/>
      <w:szCs w:val="24"/>
      <w:lang w:val="pl-PL" w:eastAsia="pl-PL" w:bidi="ar-SA"/>
    </w:rPr>
  </w:style>
  <w:style w:type="paragraph" w:styleId="Nagwek3">
    <w:name w:val="Heading 3"/>
    <w:basedOn w:val="Normal"/>
    <w:next w:val="Normal"/>
    <w:link w:val="Nagwek3Znak"/>
    <w:unhideWhenUsed/>
    <w:qFormat/>
    <w:rsid w:val="00ac5938"/>
    <w:pPr>
      <w:keepNext w:val="true"/>
      <w:keepLines/>
      <w:spacing w:before="40" w:after="0"/>
      <w:outlineLvl w:val="2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qFormat/>
    <w:rPr>
      <w:rFonts w:ascii="Arial" w:hAnsi="Arial" w:cs="Arial"/>
      <w:sz w:val="24"/>
      <w:szCs w:val="24"/>
    </w:rPr>
  </w:style>
  <w:style w:type="character" w:styleId="StopkaZnak" w:customStyle="1">
    <w:name w:val="Stopka Znak"/>
    <w:basedOn w:val="DefaultParagraphFont"/>
    <w:link w:val="Stopka"/>
    <w:uiPriority w:val="99"/>
    <w:qFormat/>
    <w:rPr>
      <w:rFonts w:ascii="Arial" w:hAnsi="Arial" w:cs="Arial"/>
      <w:sz w:val="24"/>
      <w:szCs w:val="24"/>
    </w:rPr>
  </w:style>
  <w:style w:type="character" w:styleId="TekstdymkaZnak" w:customStyle="1">
    <w:name w:val="Tekst dymka Znak"/>
    <w:basedOn w:val="DefaultParagraphFont"/>
    <w:link w:val="Tekstdymka"/>
    <w:qFormat/>
    <w:rsid w:val="001f3bfe"/>
    <w:rPr>
      <w:rFonts w:ascii="Tahoma" w:hAnsi="Tahoma" w:cs="Tahoma"/>
      <w:sz w:val="16"/>
      <w:szCs w:val="16"/>
    </w:rPr>
  </w:style>
  <w:style w:type="character" w:styleId="Czeinternetowe">
    <w:name w:val="Łącze internetowe"/>
    <w:basedOn w:val="DefaultParagraphFont"/>
    <w:unhideWhenUsed/>
    <w:rsid w:val="005d31c0"/>
    <w:rPr>
      <w:color w:val="0000FF" w:themeColor="hyperlink"/>
      <w:u w:val="single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d339d"/>
    <w:rPr>
      <w:rFonts w:ascii="Calibri" w:hAnsi="Calibri" w:eastAsia="Calibri" w:cs="" w:asciiTheme="minorHAnsi" w:cstheme="minorBidi" w:eastAsiaTheme="minorHAnsi" w:hAnsiTheme="minorHAnsi"/>
      <w:lang w:eastAsia="en-US"/>
    </w:rPr>
  </w:style>
  <w:style w:type="character" w:styleId="TekstprzypisukocowegoZnak" w:customStyle="1">
    <w:name w:val="Tekst przypisu końcowego Znak"/>
    <w:basedOn w:val="DefaultParagraphFont"/>
    <w:link w:val="Tekstprzypisukocowego"/>
    <w:semiHidden/>
    <w:qFormat/>
    <w:rsid w:val="00157221"/>
    <w:rPr>
      <w:rFonts w:ascii="Arial" w:hAnsi="Arial" w:cs="Arial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semiHidden/>
    <w:unhideWhenUsed/>
    <w:qFormat/>
    <w:rsid w:val="00157221"/>
    <w:rPr>
      <w:vertAlign w:val="superscript"/>
    </w:rPr>
  </w:style>
  <w:style w:type="character" w:styleId="Annotationreference">
    <w:name w:val="annotation reference"/>
    <w:basedOn w:val="DefaultParagraphFont"/>
    <w:semiHidden/>
    <w:unhideWhenUsed/>
    <w:qFormat/>
    <w:rsid w:val="009912ae"/>
    <w:rPr>
      <w:sz w:val="16"/>
      <w:szCs w:val="16"/>
    </w:rPr>
  </w:style>
  <w:style w:type="character" w:styleId="TematkomentarzaZnak" w:customStyle="1">
    <w:name w:val="Temat komentarza Znak"/>
    <w:basedOn w:val="TekstkomentarzaZnak"/>
    <w:link w:val="Tematkomentarza"/>
    <w:semiHidden/>
    <w:qFormat/>
    <w:rsid w:val="009912ae"/>
    <w:rPr>
      <w:rFonts w:ascii="Arial" w:hAnsi="Arial" w:eastAsia="Calibri" w:cs="Arial" w:eastAsiaTheme="minorHAnsi"/>
      <w:b/>
      <w:bCs/>
      <w:lang w:eastAsia="en-US"/>
    </w:rPr>
  </w:style>
  <w:style w:type="character" w:styleId="Nagwek3Znak" w:customStyle="1">
    <w:name w:val="Nagłówek 3 Znak"/>
    <w:basedOn w:val="DefaultParagraphFont"/>
    <w:link w:val="Nagwek3"/>
    <w:qFormat/>
    <w:rsid w:val="00ac5938"/>
    <w:rPr>
      <w:rFonts w:ascii="Cambria" w:hAnsi="Cambria" w:eastAsia="" w:cs="" w:asciiTheme="majorHAnsi" w:cstheme="majorBidi" w:eastAsiaTheme="majorEastAsia" w:hAnsiTheme="majorHAnsi"/>
      <w:color w:val="243F60" w:themeColor="accent1" w:themeShade="7f"/>
      <w:sz w:val="24"/>
      <w:szCs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Menfont" w:customStyle="1">
    <w:name w:val="men font"/>
    <w:basedOn w:val="Normal"/>
    <w:qFormat/>
    <w:pPr/>
    <w:rPr/>
  </w:style>
  <w:style w:type="paragraph" w:styleId="BalloonText">
    <w:name w:val="Balloon Text"/>
    <w:basedOn w:val="Normal"/>
    <w:link w:val="TekstdymkaZnak"/>
    <w:qFormat/>
    <w:rsid w:val="001f3bfe"/>
    <w:pPr/>
    <w:rPr>
      <w:rFonts w:ascii="Tahoma" w:hAnsi="Tahoma" w:cs="Tahoma"/>
      <w:sz w:val="16"/>
      <w:szCs w:val="16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d339d"/>
    <w:pPr>
      <w:spacing w:before="0" w:after="160"/>
    </w:pPr>
    <w:rPr>
      <w:rFonts w:ascii="Calibri" w:hAnsi="Calibri" w:eastAsia="Calibri" w:cs="" w:asciiTheme="minorHAnsi" w:cstheme="minorBidi" w:eastAsiaTheme="minorHAnsi" w:hAnsiTheme="minorHAnsi"/>
      <w:sz w:val="20"/>
      <w:szCs w:val="20"/>
      <w:lang w:eastAsia="en-US"/>
    </w:rPr>
  </w:style>
  <w:style w:type="paragraph" w:styleId="Przypiskocowy">
    <w:name w:val="Endnote Text"/>
    <w:basedOn w:val="Normal"/>
    <w:link w:val="TekstprzypisukocowegoZnak"/>
    <w:semiHidden/>
    <w:unhideWhenUsed/>
    <w:rsid w:val="00157221"/>
    <w:pPr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bc156d"/>
    <w:pPr>
      <w:spacing w:beforeAutospacing="1" w:afterAutospacing="1"/>
    </w:pPr>
    <w:rPr>
      <w:rFonts w:ascii="Times New Roman" w:hAnsi="Times New Roman" w:cs="Times New Roman"/>
    </w:rPr>
  </w:style>
  <w:style w:type="paragraph" w:styleId="Annotationsubject">
    <w:name w:val="annotation subject"/>
    <w:basedOn w:val="Annotationtext"/>
    <w:next w:val="Annotationtext"/>
    <w:link w:val="TematkomentarzaZnak"/>
    <w:semiHidden/>
    <w:unhideWhenUsed/>
    <w:qFormat/>
    <w:rsid w:val="009912ae"/>
    <w:pPr>
      <w:spacing w:before="0" w:after="0"/>
    </w:pPr>
    <w:rPr>
      <w:rFonts w:ascii="Arial" w:hAnsi="Arial" w:eastAsia="Times New Roman" w:cs="Arial"/>
      <w:b/>
      <w:bCs/>
      <w:lang w:eastAsia="pl-PL"/>
    </w:rPr>
  </w:style>
  <w:style w:type="paragraph" w:styleId="ARTartustawynprozporzdzenia" w:customStyle="1">
    <w:name w:val="ART(§) – art. ustawy (§ np. rozporządzenia)"/>
    <w:qFormat/>
    <w:rsid w:val="00ae579d"/>
    <w:pPr>
      <w:widowControl/>
      <w:suppressAutoHyphens w:val="true"/>
      <w:bidi w:val="0"/>
      <w:spacing w:lineRule="auto" w:line="360" w:before="120" w:after="0"/>
      <w:ind w:firstLine="510"/>
      <w:jc w:val="both"/>
      <w:textAlignment w:val="baseline"/>
    </w:pPr>
    <w:rPr>
      <w:rFonts w:ascii="Times" w:hAnsi="Times" w:cs="Arial" w:eastAsia="Times New Roman"/>
      <w:color w:val="auto"/>
      <w:kern w:val="2"/>
      <w:sz w:val="24"/>
      <w:szCs w:val="20"/>
      <w:lang w:val="pl-PL" w:eastAsia="pl-PL" w:bidi="ar-SA"/>
    </w:rPr>
  </w:style>
  <w:style w:type="paragraph" w:styleId="ListParagraph">
    <w:name w:val="List Paragraph"/>
    <w:basedOn w:val="Normal"/>
    <w:uiPriority w:val="34"/>
    <w:qFormat/>
    <w:rsid w:val="00876157"/>
    <w:pPr>
      <w:spacing w:before="0" w:after="0"/>
      <w:ind w:left="720" w:hanging="0"/>
      <w:contextualSpacing/>
    </w:pPr>
    <w:rPr/>
  </w:style>
  <w:style w:type="paragraph" w:styleId="USTustnpkodeksu" w:customStyle="1">
    <w:name w:val="UST(§) – ust. (§ np. kodeksu)"/>
    <w:basedOn w:val="ARTartustawynprozporzdzenia"/>
    <w:uiPriority w:val="12"/>
    <w:qFormat/>
    <w:rsid w:val="009d0cd4"/>
    <w:pPr>
      <w:spacing w:before="0" w:after="0"/>
      <w:textAlignment w:val="auto"/>
    </w:pPr>
    <w:rPr>
      <w:rFonts w:eastAsia="" w:eastAsiaTheme="minorEastAsia"/>
      <w:bCs/>
      <w:kern w:val="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LibreOffice/7.0.4.2$Windows_X86_64 LibreOffice_project/dcf040e67528d9187c66b2379df5ea4407429775</Application>
  <AppVersion>15.0000</AppVersion>
  <Pages>3</Pages>
  <Words>919</Words>
  <Characters>6505</Characters>
  <CharactersWithSpaces>7407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2022-01-26T13:21:00Z</dcterms:created>
  <dc:creator>MEN</dc:creator>
  <dc:description/>
  <dc:language>pl-PL</dc:language>
  <cp:lastModifiedBy>Stanios-Korycka Ewelina</cp:lastModifiedBy>
  <cp:lastPrinted>2021-09-15T08:39:00Z</cp:lastPrinted>
  <dcterms:modified xsi:type="dcterms:W3CDTF">2022-01-26T13:44:00Z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