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9" w:before="0" w:after="2"/>
        <w:ind w:left="2787" w:right="1309" w:hanging="766"/>
        <w:jc w:val="left"/>
        <w:rPr>
          <w:rFonts w:ascii="Calibri" w:hAnsi="Calibri" w:asciiTheme="minorHAnsi" w:hAnsiTheme="minorHAnsi"/>
          <w:b/>
          <w:b/>
          <w:sz w:val="36"/>
        </w:rPr>
      </w:pPr>
      <w:r>
        <w:rPr>
          <w:rFonts w:asciiTheme="minorHAnsi" w:hAnsiTheme="minorHAnsi"/>
          <w:b/>
          <w:sz w:val="36"/>
        </w:rPr>
      </w:r>
    </w:p>
    <w:p>
      <w:pPr>
        <w:pStyle w:val="Normal"/>
        <w:spacing w:lineRule="auto" w:line="259" w:before="0" w:after="0"/>
        <w:ind w:left="0" w:right="-33" w:hanging="0"/>
        <w:jc w:val="right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753100" cy="64770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6"/>
        </w:rPr>
        <w:t xml:space="preserve"> </w:t>
      </w:r>
    </w:p>
    <w:p>
      <w:pPr>
        <w:pStyle w:val="Normal"/>
        <w:spacing w:lineRule="auto" w:line="319" w:before="0" w:after="2"/>
        <w:ind w:left="0" w:right="1309" w:hanging="0"/>
        <w:jc w:val="left"/>
        <w:rPr>
          <w:rFonts w:ascii="Calibri" w:hAnsi="Calibri" w:asciiTheme="minorHAnsi" w:hAnsiTheme="minorHAnsi"/>
          <w:b/>
          <w:b/>
          <w:sz w:val="36"/>
        </w:rPr>
      </w:pPr>
      <w:r>
        <w:rPr>
          <w:rFonts w:asciiTheme="minorHAnsi" w:hAnsiTheme="minorHAnsi"/>
          <w:b/>
          <w:sz w:val="36"/>
        </w:rPr>
      </w:r>
    </w:p>
    <w:p>
      <w:pPr>
        <w:pStyle w:val="Normal"/>
        <w:spacing w:lineRule="auto" w:line="319" w:before="0" w:after="2"/>
        <w:ind w:left="0" w:right="1309" w:hanging="0"/>
        <w:jc w:val="center"/>
        <w:rPr>
          <w:rFonts w:ascii="Calibri" w:hAnsi="Calibri" w:asciiTheme="minorHAnsi" w:hAnsiTheme="minorHAnsi"/>
          <w:b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>
      <w:pPr>
        <w:pStyle w:val="Normal"/>
        <w:spacing w:lineRule="auto" w:line="256"/>
        <w:jc w:val="center"/>
        <w:rPr>
          <w:rFonts w:ascii="Calibri" w:hAnsi="Calibri" w:asciiTheme="minorHAnsi" w:hAnsiTheme="minorHAnsi"/>
          <w:b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Cyfrowa Gmina -Wsparcie dzieci z rodzin pegeerowskich w rozwoju cyfrowym </w:t>
      </w: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>
      <w:pPr>
        <w:pStyle w:val="Normal"/>
        <w:spacing w:lineRule="auto" w:line="319" w:before="0" w:after="2"/>
        <w:ind w:left="0" w:right="1309" w:hanging="0"/>
        <w:jc w:val="center"/>
        <w:rPr>
          <w:rFonts w:ascii="Calibri" w:hAnsi="Calibri" w:asciiTheme="minorHAnsi" w:hAnsiTheme="minorHAnsi"/>
          <w:b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</w:r>
    </w:p>
    <w:p>
      <w:pPr>
        <w:pStyle w:val="Normal"/>
        <w:spacing w:lineRule="auto" w:line="319" w:before="0" w:after="2"/>
        <w:ind w:left="0" w:right="1309" w:hanging="0"/>
        <w:jc w:val="center"/>
        <w:rPr>
          <w:rFonts w:ascii="Calibri" w:hAnsi="Calibri" w:asciiTheme="minorHAnsi" w:hAnsiTheme="minorHAnsi"/>
          <w:b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Oś V. Rozwój cyfrowy JST oraz wzmocnienie cyfrowej odporności na zagrożenia - REACT-EU</w:t>
      </w:r>
    </w:p>
    <w:p>
      <w:pPr>
        <w:pStyle w:val="Normal"/>
        <w:ind w:left="0" w:right="726" w:hanging="0"/>
        <w:rPr>
          <w:rFonts w:ascii="Calibri" w:hAnsi="Calibri" w:cs="Arial" w:asciiTheme="minorHAnsi" w:hAnsiTheme="minorHAnsi"/>
          <w:b/>
          <w:b/>
          <w:color w:val="1D1B11"/>
          <w:sz w:val="30"/>
          <w:szCs w:val="30"/>
        </w:rPr>
      </w:pPr>
      <w:r>
        <w:rPr>
          <w:rFonts w:cs="Arial"/>
          <w:b/>
          <w:color w:val="1D1B11"/>
          <w:sz w:val="30"/>
          <w:szCs w:val="30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bCs/>
          <w:color w:val="1D1B11"/>
          <w:sz w:val="30"/>
          <w:szCs w:val="30"/>
        </w:rPr>
      </w:pPr>
      <w:r>
        <w:rPr>
          <w:rFonts w:cs="Arial"/>
          <w:b/>
          <w:bCs/>
          <w:color w:val="1D1B11"/>
          <w:sz w:val="30"/>
          <w:szCs w:val="30"/>
        </w:rPr>
        <w:t xml:space="preserve">Działanie 5.1 Rozwój cyfrowy JST oraz wzmocnienie cyfrowej odporności na zagrożenia </w:t>
      </w:r>
    </w:p>
    <w:p>
      <w:pPr>
        <w:pStyle w:val="Normal"/>
        <w:jc w:val="center"/>
        <w:rPr>
          <w:b/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</w:r>
    </w:p>
    <w:p>
      <w:pPr>
        <w:pStyle w:val="Normal"/>
        <w:jc w:val="center"/>
        <w:rPr>
          <w:b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1D1B11"/>
          <w:sz w:val="30"/>
          <w:szCs w:val="30"/>
        </w:rPr>
        <w:t>Program Operacyjny Polska Cyfrowa na lata 2014 – 2020</w:t>
      </w:r>
    </w:p>
    <w:p>
      <w:pPr>
        <w:pStyle w:val="Normal"/>
        <w:spacing w:lineRule="auto" w:line="259" w:before="0" w:after="113"/>
        <w:ind w:left="0" w:right="645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59" w:before="0" w:after="113"/>
        <w:ind w:left="0" w:right="645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sz w:val="36"/>
        </w:rPr>
        <w:t xml:space="preserve"> </w:t>
      </w:r>
    </w:p>
    <w:p>
      <w:pPr>
        <w:pStyle w:val="Normal"/>
        <w:spacing w:lineRule="auto" w:line="259" w:before="0" w:after="0"/>
        <w:ind w:left="0" w:right="645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59" w:before="0" w:after="115"/>
        <w:ind w:left="0" w:right="677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sz w:val="22"/>
        </w:rPr>
        <w:t xml:space="preserve"> </w:t>
      </w:r>
    </w:p>
    <w:p>
      <w:pPr>
        <w:pStyle w:val="Normal"/>
        <w:spacing w:lineRule="auto" w:line="259" w:before="0" w:after="117"/>
        <w:ind w:left="0" w:right="677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sz w:val="22"/>
        </w:rPr>
        <w:t xml:space="preserve"> </w:t>
      </w:r>
    </w:p>
    <w:p>
      <w:pPr>
        <w:pStyle w:val="Normal"/>
        <w:spacing w:lineRule="auto" w:line="259" w:before="0" w:after="115"/>
        <w:ind w:left="0" w:right="0" w:hanging="0"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sz w:val="22"/>
        </w:rPr>
        <w:t xml:space="preserve"> </w:t>
      </w:r>
    </w:p>
    <w:p>
      <w:pPr>
        <w:pStyle w:val="Normal"/>
        <w:spacing w:lineRule="auto" w:line="259" w:before="0" w:after="95"/>
        <w:ind w:left="0" w:right="677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sz w:val="22"/>
        </w:rPr>
        <w:t xml:space="preserve"> </w:t>
      </w:r>
    </w:p>
    <w:p>
      <w:pPr>
        <w:pStyle w:val="Normal"/>
        <w:spacing w:lineRule="auto" w:line="259" w:before="0" w:after="119"/>
        <w:ind w:left="0" w:right="68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rmal"/>
        <w:spacing w:lineRule="auto" w:line="259" w:before="0" w:after="117"/>
        <w:ind w:left="0" w:right="68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rmal"/>
        <w:spacing w:lineRule="auto" w:line="259" w:before="0" w:after="119"/>
        <w:ind w:left="0" w:right="68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rmal"/>
        <w:spacing w:lineRule="auto" w:line="259" w:before="0" w:after="117"/>
        <w:ind w:left="0" w:right="68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rmal"/>
        <w:spacing w:lineRule="auto" w:line="259" w:before="0" w:after="119"/>
        <w:ind w:left="0" w:right="68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rmal"/>
        <w:spacing w:lineRule="auto" w:line="259" w:before="0" w:after="117"/>
        <w:ind w:left="0" w:right="68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rmal"/>
        <w:spacing w:lineRule="auto" w:line="259" w:before="0" w:after="196"/>
        <w:ind w:left="0" w:right="68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>
      <w:pPr>
        <w:pStyle w:val="Normal"/>
        <w:spacing w:lineRule="auto" w:line="259" w:before="0" w:after="521"/>
        <w:ind w:left="0" w:right="732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8"/>
        </w:rPr>
        <w:t xml:space="preserve">Warszawa, wrzesień 2021 r. </w:t>
      </w:r>
    </w:p>
    <w:p>
      <w:pPr>
        <w:pStyle w:val="Normal"/>
        <w:spacing w:lineRule="auto" w:line="259" w:before="0" w:after="0"/>
        <w:ind w:left="0" w:right="0" w:hanging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</w:rPr>
        <w:t xml:space="preserve"> </w:t>
      </w:r>
    </w:p>
    <w:p>
      <w:pPr>
        <w:pStyle w:val="Normal"/>
        <w:spacing w:lineRule="auto" w:line="259" w:before="0" w:after="476"/>
        <w:ind w:left="0" w:right="0" w:hanging="0"/>
        <w:rPr>
          <w:b/>
          <w:b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 </w:t>
      </w:r>
      <w:bookmarkStart w:id="0" w:name="_Toc36566155"/>
      <w:r>
        <w:rPr>
          <w:rFonts w:asciiTheme="minorHAnsi" w:hAnsiTheme="minorHAnsi"/>
          <w:b/>
          <w:sz w:val="22"/>
        </w:rPr>
        <w:t>§1</w:t>
      </w:r>
    </w:p>
    <w:p>
      <w:pPr>
        <w:pStyle w:val="Nagwek1"/>
        <w:tabs>
          <w:tab w:val="clear" w:pos="708"/>
          <w:tab w:val="center" w:pos="3119" w:leader="none"/>
          <w:tab w:val="center" w:pos="4890" w:leader="none"/>
        </w:tabs>
        <w:spacing w:lineRule="auto" w:line="360" w:before="0" w:after="59"/>
        <w:ind w:left="0" w:right="726" w:hanging="0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>
        <w:rPr>
          <w:rFonts w:asciiTheme="minorHAnsi" w:hAnsiTheme="minorHAnsi"/>
          <w:sz w:val="22"/>
        </w:rPr>
        <w:t>Słownik pojęć</w:t>
      </w:r>
      <w:bookmarkEnd w:id="0"/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Generator Wniosków Grantowych (GWG) </w:t>
      </w:r>
      <w:r>
        <w:rPr>
          <w:rFonts w:asciiTheme="minorHAnsi" w:hAnsiTheme="minorHAnsi"/>
        </w:rPr>
        <w:t xml:space="preserve">– aplikacja służąca do kompleksowej obsługi wniosków grantowych (w zakresie składania wniosków, oceny wniosków, rozliczenia wniosków, komunikacji między Operatorem </w:t>
        <w:br/>
        <w:t>a Wnioskodawcą), dostępna na stronie internetowej Projektu;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Grant</w:t>
      </w:r>
      <w:r>
        <w:rPr>
          <w:rFonts w:asciiTheme="minorHAnsi" w:hAnsiTheme="minorHAnsi"/>
        </w:rPr>
        <w:t xml:space="preserve"> – środki finansowe, które Operator na podstawie Umowy o powierzenie Grantu powierzył Grantobiorcy na realizację zadań służących osiągnięciu celu Projektu;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Grantobiorca</w:t>
      </w:r>
      <w:r>
        <w:rPr>
          <w:rFonts w:asciiTheme="minorHAnsi" w:hAnsiTheme="minorHAnsi"/>
        </w:rPr>
        <w:t xml:space="preserve"> – podmiot, będący jednostką samorządu terytorialnego, uprawniony do udziału w konkursie, wybrany w procesie otwartego naboru, ogłoszonego przez Operatora, który realizuje Projekt Grantowy na podstawie Umowy o powierzenie Grantu;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 xml:space="preserve">Beneficjent </w:t>
      </w:r>
      <w:r>
        <w:rPr>
          <w:rFonts w:asciiTheme="minorHAnsi" w:hAnsiTheme="minorHAnsi"/>
        </w:rPr>
        <w:t xml:space="preserve">– Beneficjent projektu indykatywnego Cyfrowa Gmina - Centrum Projektów Polska Cyfrowa (CPPC);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JST </w:t>
      </w:r>
      <w:r>
        <w:rPr>
          <w:rFonts w:asciiTheme="minorHAnsi" w:hAnsiTheme="minorHAnsi"/>
        </w:rPr>
        <w:t xml:space="preserve">– jednostki samorządu terytorialnego uprawnione do otrzymania Grantu w ramach konkursu.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Komisja Przyznająca Granty (KPG)</w:t>
      </w:r>
      <w:r>
        <w:rPr>
          <w:rFonts w:asciiTheme="minorHAnsi" w:hAnsiTheme="minorHAnsi"/>
        </w:rPr>
        <w:t xml:space="preserve"> – komisja zatwierdzająca listę wniosków o przyznanie Grantu według zasad określonych w niniejszym Regulaminie;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Konkurs Grantowy </w:t>
      </w:r>
      <w:r>
        <w:rPr>
          <w:rFonts w:asciiTheme="minorHAnsi" w:hAnsiTheme="minorHAnsi"/>
        </w:rPr>
        <w:t>– nabór prowadzony przez Operatora w celu wyłonienia Grantobiorców;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KOWR </w:t>
      </w:r>
      <w:r>
        <w:rPr>
          <w:rFonts w:asciiTheme="minorHAnsi" w:hAnsiTheme="minorHAnsi"/>
        </w:rPr>
        <w:t>– Krajowy Ośrodek Wsparcia Rolnictwa;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>Operator</w:t>
      </w:r>
      <w:r>
        <w:rPr>
          <w:rFonts w:asciiTheme="minorHAnsi" w:hAnsiTheme="minorHAnsi"/>
        </w:rPr>
        <w:t xml:space="preserve"> – Politechnika Łódzka;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 xml:space="preserve">Partner </w:t>
      </w:r>
      <w:r>
        <w:rPr>
          <w:rFonts w:asciiTheme="minorHAnsi" w:hAnsiTheme="minorHAnsi"/>
        </w:rPr>
        <w:t>- Partner Projektu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– Politechnika Łódzka;   </w:t>
      </w:r>
    </w:p>
    <w:p>
      <w:pPr>
        <w:pStyle w:val="Normal"/>
        <w:ind w:left="10" w:right="721" w:hanging="10"/>
        <w:rPr>
          <w:color w:val="000000" w:themeColor="text1"/>
          <w:szCs w:val="20"/>
        </w:rPr>
      </w:pPr>
      <w:r>
        <w:rPr>
          <w:rFonts w:asciiTheme="minorHAnsi" w:hAnsiTheme="minorHAnsi"/>
          <w:b/>
          <w:color w:val="000000" w:themeColor="text1"/>
          <w:szCs w:val="20"/>
        </w:rPr>
        <w:t>PPGR</w:t>
      </w:r>
      <w:r>
        <w:rPr>
          <w:rFonts w:asciiTheme="minorHAnsi" w:hAnsiTheme="minorHAnsi"/>
          <w:color w:val="000000" w:themeColor="text1"/>
          <w:szCs w:val="20"/>
        </w:rPr>
        <w:t xml:space="preserve"> - Państwowe Przedsiębiorstwo Gospodarki Rolnej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POPC </w:t>
      </w:r>
      <w:r>
        <w:rPr>
          <w:rFonts w:asciiTheme="minorHAnsi" w:hAnsiTheme="minorHAnsi"/>
        </w:rPr>
        <w:t>– Program Operacyjny Polska Cyfrowa na lata 2014-2020;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Projekt </w:t>
      </w:r>
      <w:r>
        <w:rPr>
          <w:rFonts w:asciiTheme="minorHAnsi" w:hAnsiTheme="minorHAnsi"/>
        </w:rPr>
        <w:t>– przedsięwzięcie realizowane przez Centrum Projektów Polska Cyfrowa pod nazwą „Cyfrowa Gmina”;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Projekt Grantowy </w:t>
      </w:r>
      <w:r>
        <w:rPr>
          <w:rFonts w:asciiTheme="minorHAnsi" w:hAnsiTheme="minorHAnsi"/>
        </w:rPr>
        <w:t xml:space="preserve">– projekt realizowany przez Grantobiorcę, na podstawie Umowy o powierzenie Grantu zawartej z CPPC;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Regulamin </w:t>
      </w:r>
      <w:r>
        <w:rPr>
          <w:rFonts w:asciiTheme="minorHAnsi" w:hAnsiTheme="minorHAnsi"/>
        </w:rPr>
        <w:t>– niniejszy Regulamin naboru;</w:t>
      </w:r>
      <w:r>
        <w:rPr>
          <w:rFonts w:asciiTheme="minorHAnsi" w:hAnsiTheme="minorHAnsi"/>
          <w:b/>
        </w:rPr>
        <w:t xml:space="preserve">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Strona internetowa Projektu</w:t>
      </w:r>
      <w:r>
        <w:rPr>
          <w:rFonts w:asciiTheme="minorHAnsi" w:hAnsiTheme="minorHAnsi"/>
        </w:rPr>
        <w:t xml:space="preserve"> –</w:t>
      </w:r>
      <w:hyperlink r:id="rId3">
        <w:r>
          <w:rPr>
            <w:rFonts w:asciiTheme="minorHAnsi" w:hAnsiTheme="minorHAnsi"/>
          </w:rPr>
          <w:t xml:space="preserve"> </w:t>
        </w:r>
      </w:hyperlink>
      <w:hyperlink r:id="rId4">
        <w:r>
          <w:rPr>
            <w:rStyle w:val="Czeinternetowe"/>
          </w:rPr>
          <w:t>https://gov.pl/cppc/wsparcie-ppgr</w:t>
        </w:r>
      </w:hyperlink>
      <w:r>
        <w:rPr>
          <w:rFonts w:asciiTheme="minorHAnsi" w:hAnsiTheme="minorHAnsi"/>
        </w:rPr>
        <w:t>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SZOOP </w:t>
      </w:r>
      <w:r>
        <w:rPr>
          <w:rFonts w:asciiTheme="minorHAnsi" w:hAnsiTheme="minorHAnsi"/>
        </w:rPr>
        <w:t xml:space="preserve">- Szczegółowy Opis Osi Priorytetowych Programu Operacyjnego Polska Cyfrowa na lata 2014-2020.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Umowa o powierzenie Grantu -</w:t>
      </w:r>
      <w:r>
        <w:rPr>
          <w:rFonts w:asciiTheme="minorHAnsi" w:hAnsiTheme="minorHAnsi"/>
        </w:rPr>
        <w:t xml:space="preserve"> umowa pomiędzy Grantobiorcą i Grantodawcą określającą w szczególności przedmiot umowy, zadania Grantobiorcy objęte grantem, kwotę grantu, okres realizacji umowy o powierzenie grantu, warunki przekazania i rozliczenia grantu;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Ustawa wdrożeniowa </w:t>
      </w:r>
      <w:r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2020 r. poz. 818, z późn. zm.); 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>Wniosek o przyznanie Grantu, Wniosek</w:t>
      </w:r>
      <w:r>
        <w:rPr>
          <w:rFonts w:asciiTheme="minorHAnsi" w:hAnsiTheme="minorHAnsi"/>
        </w:rPr>
        <w:t xml:space="preserve"> – wniosek grantowy (którego wzór stanowi załącznik nr 1) złożony za pośrednictwem aplikacji do składania wniosków, dostępnej na stronie: </w:t>
      </w:r>
      <w:hyperlink r:id="rId5">
        <w:r>
          <w:rPr>
            <w:rStyle w:val="Czeinternetowe"/>
          </w:rPr>
          <w:t>https://gov.pl/cppc/wsparcie-ppgr</w:t>
        </w:r>
      </w:hyperlink>
      <w:r>
        <w:rPr>
          <w:rFonts w:asciiTheme="minorHAnsi" w:hAnsiTheme="minorHAnsi"/>
        </w:rPr>
        <w:t>;</w:t>
      </w:r>
    </w:p>
    <w:p>
      <w:pPr>
        <w:pStyle w:val="Normal"/>
        <w:ind w:left="10" w:right="721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bCs/>
        </w:rPr>
        <w:t>Wnioskodawca</w:t>
      </w:r>
      <w:r>
        <w:rPr>
          <w:rFonts w:asciiTheme="minorHAnsi" w:hAnsiTheme="minorHAnsi"/>
        </w:rPr>
        <w:t xml:space="preserve"> – podmiot, będący jednostką samorządu terytorialnego, aplikujący o Grant na realizację Projektu Grantowego, który złożył za pomocą GWG Wniosek o przyznanie Grantu.</w:t>
      </w:r>
    </w:p>
    <w:p>
      <w:pPr>
        <w:pStyle w:val="Nagwek1"/>
        <w:tabs>
          <w:tab w:val="clear" w:pos="708"/>
          <w:tab w:val="center" w:pos="3395" w:leader="none"/>
          <w:tab w:val="center" w:pos="4890" w:leader="none"/>
        </w:tabs>
        <w:ind w:left="0" w:right="726" w:hanging="0"/>
        <w:jc w:val="left"/>
        <w:rPr>
          <w:rFonts w:ascii="Calibri" w:hAnsi="Calibri" w:cs="Calibri" w:asciiTheme="minorHAnsi" w:cstheme="minorHAnsi" w:hAnsiTheme="minorHAnsi"/>
          <w:sz w:val="22"/>
        </w:rPr>
      </w:pPr>
      <w:bookmarkStart w:id="1" w:name="_Toc18520"/>
      <w:r>
        <w:rPr>
          <w:rFonts w:cs="Calibri" w:cstheme="minorHAnsi"/>
          <w:sz w:val="22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center" w:pos="3395" w:leader="none"/>
          <w:tab w:val="center" w:pos="4890" w:leader="none"/>
        </w:tabs>
        <w:ind w:left="0" w:right="726" w:hanging="0"/>
        <w:rPr>
          <w:rFonts w:ascii="Calibri" w:hAnsi="Calibri" w:eastAsia="Arial" w:cs="Calibri" w:asciiTheme="minorHAnsi" w:cstheme="minorHAnsi" w:hAnsiTheme="minorHAnsi"/>
          <w:sz w:val="22"/>
        </w:rPr>
      </w:pPr>
      <w:r>
        <w:rPr>
          <w:rFonts w:cs="Calibri" w:cstheme="minorHAnsi"/>
          <w:sz w:val="22"/>
        </w:rPr>
        <w:t>§2</w:t>
      </w:r>
    </w:p>
    <w:p>
      <w:pPr>
        <w:pStyle w:val="Normal"/>
        <w:widowControl w:val="false"/>
        <w:spacing w:lineRule="auto" w:line="360" w:before="115" w:after="0"/>
        <w:ind w:left="2208" w:right="2226" w:hanging="0"/>
        <w:jc w:val="center"/>
        <w:rPr>
          <w:rFonts w:ascii="Calibri" w:hAnsi="Calibri" w:eastAsia="Trebuchet MS" w:cs="Calibri" w:asciiTheme="minorHAnsi" w:cstheme="minorHAnsi" w:hAnsiTheme="minorHAnsi"/>
          <w:color w:val="auto"/>
          <w:sz w:val="22"/>
          <w:lang w:eastAsia="en-US"/>
        </w:rPr>
      </w:pPr>
      <w:r>
        <w:rPr>
          <w:rFonts w:eastAsia="Trebuchet MS" w:cs="Calibri" w:cstheme="minorHAnsi"/>
          <w:b/>
          <w:color w:val="auto"/>
          <w:sz w:val="22"/>
          <w:lang w:eastAsia="en-US"/>
        </w:rPr>
        <w:t>Podstawy prawne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360" w:before="0" w:after="0"/>
        <w:ind w:left="360" w:right="3" w:hanging="360"/>
        <w:contextualSpacing/>
        <w:jc w:val="left"/>
        <w:rPr>
          <w:rFonts w:ascii="Calibri" w:hAnsi="Calibri" w:eastAsia="Trebuchet MS" w:cs="Calibri" w:asciiTheme="minorHAnsi" w:cstheme="minorHAnsi" w:hAnsiTheme="minorHAnsi"/>
          <w:color w:val="auto"/>
          <w:lang w:eastAsia="en-US"/>
        </w:rPr>
      </w:pPr>
      <w:r>
        <w:rPr>
          <w:rFonts w:eastAsia="Trebuchet MS" w:cs="Calibri" w:cstheme="minorHAnsi"/>
          <w:color w:val="auto"/>
          <w:lang w:eastAsia="en-US"/>
        </w:rPr>
        <w:t>Nabór jest organizowany w oparciu o następujące akty prawne: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r., z późn. zm.), zwane rozporządzeniem ogólnym;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Program Operacyjny Polska Cyfrowa na lata 2014-2020, przyjęty decyzją nr nr C(2014) 9384 final Komisji Europejskiej z dnia 5 grudnia 2014 r. ze zmianami z dnia 15 lutego 2017 r.;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  <w:br/>
        <w:t>a Ministerstwem Administracji i Cyfryzacji a Władzą Wdrażającą Programy Europejskie</w:t>
      </w:r>
      <w:r>
        <w:rPr>
          <w:rStyle w:val="Zakotwiczenieprzypisudolnego"/>
          <w:rFonts w:asciiTheme="minorHAnsi" w:hAnsiTheme="minorHAnsi"/>
          <w:vertAlign w:val="superscript"/>
        </w:rPr>
        <w:footnoteReference w:id="2"/>
      </w:r>
      <w:r>
        <w:rPr>
          <w:rFonts w:asciiTheme="minorHAnsi" w:hAnsiTheme="minorHAnsi"/>
        </w:rPr>
        <w:t>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Zarządzenie nr 48 Prezesa Rady Ministrów z dnia 12 kwietnia 2016 r. w sprawie Komitetu Rady Ministrów ds. Cyfryzacji (M.P. poz. 379);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 (Dz. U. z 2020 r., poz. 1842 ze zm.);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Ustawa z dnia 5 września 2016 r. o usługach zaufania oraz identyfikacji elektronicznej (Dz. U. z 2020 r. poz. 1173).</w:t>
      </w:r>
    </w:p>
    <w:p>
      <w:pPr>
        <w:pStyle w:val="Nagwek1"/>
        <w:tabs>
          <w:tab w:val="clear" w:pos="708"/>
          <w:tab w:val="center" w:pos="3395" w:leader="none"/>
          <w:tab w:val="center" w:pos="4890" w:leader="none"/>
        </w:tabs>
        <w:ind w:left="0" w:right="7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agwek1"/>
        <w:tabs>
          <w:tab w:val="clear" w:pos="708"/>
          <w:tab w:val="center" w:pos="3395" w:leader="none"/>
          <w:tab w:val="center" w:pos="4890" w:leader="none"/>
        </w:tabs>
        <w:ind w:left="0" w:right="726" w:hanging="0"/>
        <w:rPr>
          <w:rFonts w:ascii="Calibri" w:hAnsi="Calibri" w:eastAsia="Arial" w:cs="Arial" w:asciiTheme="minorHAnsi" w:hAnsiTheme="minorHAnsi"/>
        </w:rPr>
      </w:pPr>
      <w:r>
        <w:rPr>
          <w:rFonts w:asciiTheme="minorHAnsi" w:hAnsiTheme="minorHAnsi"/>
        </w:rPr>
        <w:t>§3</w:t>
      </w:r>
    </w:p>
    <w:p>
      <w:pPr>
        <w:pStyle w:val="Nagwek1"/>
        <w:tabs>
          <w:tab w:val="clear" w:pos="708"/>
          <w:tab w:val="center" w:pos="3395" w:leader="none"/>
          <w:tab w:val="center" w:pos="4890" w:leader="none"/>
        </w:tabs>
        <w:ind w:left="0" w:right="726" w:hanging="0"/>
        <w:rPr>
          <w:rFonts w:ascii="Calibri" w:hAnsi="Calibri" w:asciiTheme="minorHAnsi" w:hAnsiTheme="minorHAnsi"/>
        </w:rPr>
      </w:pPr>
      <w:bookmarkStart w:id="2" w:name="_Toc18520"/>
      <w:r>
        <w:rPr>
          <w:rFonts w:asciiTheme="minorHAnsi" w:hAnsiTheme="minorHAnsi"/>
        </w:rPr>
        <w:t>Informacje ogólne</w:t>
      </w:r>
      <w:bookmarkEnd w:id="2"/>
    </w:p>
    <w:p>
      <w:pPr>
        <w:pStyle w:val="ListParagraph"/>
        <w:spacing w:lineRule="auto" w:line="240" w:before="40" w:after="40"/>
        <w:ind w:left="720" w:right="0" w:hanging="0"/>
        <w:contextualSpacing/>
        <w:jc w:val="left"/>
        <w:rPr>
          <w:rFonts w:ascii="Calibri" w:hAnsi="Calibri" w:eastAsia="Arial" w:cs="Arial" w:asciiTheme="minorHAnsi" w:hAnsiTheme="minorHAnsi"/>
        </w:rPr>
      </w:pPr>
      <w:r>
        <w:rPr>
          <w:rFonts w:eastAsia="Arial" w:cs="Arial"/>
        </w:rPr>
      </w:r>
      <w:bookmarkStart w:id="3" w:name="_Toc36566156"/>
      <w:bookmarkStart w:id="4" w:name="_Toc36566156"/>
      <w:bookmarkEnd w:id="4"/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Niniejszy Regulamin określa szczegółowe zasady powierzania Grantów w ramach Konkursu Grantowego.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rFonts w:asciiTheme="minorHAnsi" w:hAnsiTheme="minorHAnsi"/>
        </w:rPr>
        <w:t>Do aplikowania w naborze uprawnione są gminy, które uzyskały pozytywną opinię KOWR,  w zakresie: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rFonts w:asciiTheme="minorHAnsi" w:hAnsiTheme="minorHAnsi"/>
        </w:rPr>
        <w:t xml:space="preserve">Funkcjonowania na terenie gminy zlikwidowanego PPGR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Konkurs Grantowy przeprowadzany jest jawnie, z zapewnieniem publicznego dostępu do informacji </w:t>
        <w:br/>
        <w:t>o zasadach jego przeprowadzania oraz listy Projektów Grantowych, które otrzymały Grant.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Nabór wniosków odbędzie się w ramach otwartego naboru grantowego. </w:t>
      </w:r>
      <w:r>
        <w:rPr>
          <w:rFonts w:asciiTheme="minorHAnsi" w:hAnsiTheme="minorHAnsi"/>
        </w:rPr>
        <w:t xml:space="preserve">Grantobiorcy będą realizowali Projekty Grantowe na podstawie Umowy o powierzenie Grantu, zawartej z Beneficjentem. </w:t>
      </w:r>
    </w:p>
    <w:p>
      <w:pPr>
        <w:pStyle w:val="ListParagraph"/>
        <w:numPr>
          <w:ilvl w:val="0"/>
          <w:numId w:val="9"/>
        </w:numPr>
        <w:spacing w:before="0" w:after="40"/>
        <w:ind w:left="720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Wniosek o przyznanie grantu uznaje się za złożony, jeśli spełnia następujące warunki:</w:t>
      </w:r>
    </w:p>
    <w:p>
      <w:pPr>
        <w:pStyle w:val="ListParagraph"/>
        <w:numPr>
          <w:ilvl w:val="0"/>
          <w:numId w:val="8"/>
        </w:numPr>
        <w:spacing w:before="0" w:after="40"/>
        <w:ind w:left="1068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został złożony w terminie, o którym mowa w § 5 ust. 1, pkt 2, 3. </w:t>
      </w:r>
    </w:p>
    <w:p>
      <w:pPr>
        <w:pStyle w:val="ListParagraph"/>
        <w:numPr>
          <w:ilvl w:val="0"/>
          <w:numId w:val="8"/>
        </w:numPr>
        <w:spacing w:before="0" w:after="40"/>
        <w:ind w:left="1068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został złożony zgodnie z zasadami określonymi w § 5 ust. 2.</w:t>
      </w:r>
    </w:p>
    <w:p>
      <w:pPr>
        <w:pStyle w:val="ListParagraph"/>
        <w:spacing w:before="0" w:after="40"/>
        <w:ind w:left="720" w:right="721" w:hanging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agwek1"/>
        <w:tabs>
          <w:tab w:val="clear" w:pos="708"/>
          <w:tab w:val="center" w:pos="2228" w:leader="none"/>
          <w:tab w:val="center" w:pos="4889" w:leader="none"/>
        </w:tabs>
        <w:ind w:left="0" w:right="726" w:hanging="0"/>
        <w:rPr>
          <w:rFonts w:ascii="Calibri" w:hAnsi="Calibri" w:asciiTheme="minorHAnsi" w:hAnsiTheme="minorHAnsi"/>
          <w:sz w:val="22"/>
        </w:rPr>
      </w:pPr>
      <w:bookmarkStart w:id="5" w:name="_Toc18521"/>
      <w:r>
        <w:rPr>
          <w:rFonts w:asciiTheme="minorHAnsi" w:hAnsiTheme="minorHAnsi"/>
          <w:sz w:val="22"/>
        </w:rPr>
        <w:t>§4</w:t>
      </w:r>
    </w:p>
    <w:p>
      <w:pPr>
        <w:pStyle w:val="Nagwek1"/>
        <w:tabs>
          <w:tab w:val="clear" w:pos="708"/>
          <w:tab w:val="center" w:pos="1402" w:leader="none"/>
          <w:tab w:val="center" w:pos="4889" w:leader="none"/>
        </w:tabs>
        <w:ind w:left="0" w:right="726" w:hanging="0"/>
        <w:rPr>
          <w:rFonts w:ascii="Calibri" w:hAnsi="Calibri" w:asciiTheme="minorHAnsi" w:hAnsiTheme="minorHAnsi"/>
          <w:sz w:val="22"/>
        </w:rPr>
      </w:pPr>
      <w:bookmarkStart w:id="6" w:name="_Toc18521"/>
      <w:r>
        <w:rPr>
          <w:rFonts w:asciiTheme="minorHAnsi" w:hAnsiTheme="minorHAnsi"/>
          <w:sz w:val="22"/>
        </w:rPr>
        <w:t>Podmioty uprawnione do udziału w Konkursie grantowym</w:t>
      </w:r>
      <w:bookmarkEnd w:id="6"/>
      <w:r>
        <w:rPr>
          <w:rFonts w:asciiTheme="minorHAnsi" w:hAnsiTheme="minorHAnsi"/>
          <w:sz w:val="22"/>
        </w:rPr>
        <w:t xml:space="preserve"> i zasady finansowania projektów </w:t>
      </w:r>
      <w:bookmarkStart w:id="7" w:name="_Toc36566157"/>
      <w:bookmarkEnd w:id="7"/>
    </w:p>
    <w:p>
      <w:pPr>
        <w:pStyle w:val="ListParagraph"/>
        <w:numPr>
          <w:ilvl w:val="0"/>
          <w:numId w:val="14"/>
        </w:numPr>
        <w:spacing w:before="0" w:after="0"/>
        <w:ind w:left="426" w:right="726" w:hanging="36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rFonts w:asciiTheme="minorHAnsi" w:hAnsiTheme="minorHAnsi"/>
        </w:rPr>
        <w:t>Do udziału w Konkursie Grantowym uprawnione są jednostki samorządu terytorialnego które  uzyskały pozytywną opinię KOWR,  w zakresie: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rFonts w:asciiTheme="minorHAnsi" w:hAnsiTheme="minorHAnsi"/>
        </w:rPr>
        <w:t xml:space="preserve">Funkcjonowania na terenie gminy zlikwidowanego PPGR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>
      <w:pPr>
        <w:pStyle w:val="ListParagraph"/>
        <w:ind w:left="0" w:right="726" w:hanging="0"/>
        <w:rPr/>
      </w:pPr>
      <w:r>
        <w:rPr/>
        <w:t xml:space="preserve">Alokacja na Granty wynosi 80 000 000 zł. </w:t>
      </w:r>
      <w:r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  <w:br/>
        <w:t xml:space="preserve">o zwiększeniu alokacji na nabór. </w:t>
      </w:r>
    </w:p>
    <w:p>
      <w:pPr>
        <w:pStyle w:val="ListParagraph"/>
        <w:numPr>
          <w:ilvl w:val="0"/>
          <w:numId w:val="14"/>
        </w:numPr>
        <w:spacing w:before="0" w:after="159"/>
        <w:ind w:left="426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Maksymalna intensywność dofinansowania projektu może wynosić do 100% kosztów kwalifikowalnych.</w:t>
      </w:r>
    </w:p>
    <w:p>
      <w:pPr>
        <w:pStyle w:val="ListParagraph"/>
        <w:numPr>
          <w:ilvl w:val="0"/>
          <w:numId w:val="14"/>
        </w:numPr>
        <w:spacing w:before="0" w:after="39"/>
        <w:ind w:left="426" w:right="721" w:hanging="36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</w:rPr>
      </w:pPr>
      <w:r>
        <w:rPr/>
        <w:t xml:space="preserve">Dofinansowanie w ramach grantów dla poszczególnych gmin zostanie określone jako iloczyn ilości dzieci </w:t>
        <w:br/>
        <w:t>z rodzin po PPGR i maksymalnej stawki za jednostkę komputera określoną w dokumentacji konkursowej, tj. 3 500 PLN za jednostkę stacjonarną lub laptopa oraz 1 500 PLN za zakup tabletu.</w:t>
      </w:r>
    </w:p>
    <w:p>
      <w:pPr>
        <w:pStyle w:val="ListParagraph"/>
        <w:numPr>
          <w:ilvl w:val="0"/>
          <w:numId w:val="14"/>
        </w:numPr>
        <w:spacing w:before="0" w:after="39"/>
        <w:ind w:left="426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Do wydatków kwalifikowanych w ramach Grantu zalicza się wyłącznie zakup: </w:t>
      </w:r>
    </w:p>
    <w:p>
      <w:pPr>
        <w:pStyle w:val="ListParagraph"/>
        <w:numPr>
          <w:ilvl w:val="0"/>
          <w:numId w:val="2"/>
        </w:numPr>
        <w:spacing w:lineRule="auto" w:line="268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nowego sprzętu komputerowego z urządzeniami peryferyjnymi i akcesoriami oraz niezbędnym oprogramowaniem, umożliwiających pracę zdalną, w tym niezbędne akcesoria i oprogramowanie dla osób z niepełnosprawnościami (w wyjątkowych przypadkach możliwy jest zakup komputera powyżej 3,5 tys. zł oraz tabletu powyżej 1,5 tys. zł niezbędne będzie uzasadnienie przez Wnioskodawcę wysokości kosztów zakupów takiego sprzętu); </w:t>
      </w:r>
    </w:p>
    <w:p>
      <w:pPr>
        <w:pStyle w:val="ListParagraph"/>
        <w:numPr>
          <w:ilvl w:val="0"/>
          <w:numId w:val="2"/>
        </w:numPr>
        <w:spacing w:lineRule="auto" w:line="268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ubezpieczenia zakupionego sprzętu komputerowego;</w:t>
      </w:r>
    </w:p>
    <w:p>
      <w:pPr>
        <w:pStyle w:val="ListParagraph"/>
        <w:numPr>
          <w:ilvl w:val="0"/>
          <w:numId w:val="2"/>
        </w:numPr>
        <w:spacing w:lineRule="auto" w:line="268"/>
        <w:rPr>
          <w:color w:val="000000" w:themeColor="text1"/>
        </w:rPr>
      </w:pPr>
      <w:r>
        <w:rPr>
          <w:color w:val="000000" w:themeColor="text1"/>
        </w:rPr>
        <w:t>usługi zapewniającej dostęp do Internetu na sprzęcie komputerowym zakupionym w ramach projektu, w przypadku gdy opiekun prawny lub uczeń szkoły średniej, który osiągnął pełnoletność w oświadczeniu wskaże na brak możliwości zapewnienia usługi dostępu do Internetu.</w:t>
      </w:r>
    </w:p>
    <w:p>
      <w:pPr>
        <w:pStyle w:val="ListParagraph"/>
        <w:numPr>
          <w:ilvl w:val="0"/>
          <w:numId w:val="14"/>
        </w:numPr>
        <w:spacing w:lineRule="auto" w:line="268"/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>Warunkiem zakwalifikowania wydatków na sprzęt jest ponadto:</w:t>
      </w:r>
    </w:p>
    <w:p>
      <w:pPr>
        <w:pStyle w:val="ListParagraph"/>
        <w:numPr>
          <w:ilvl w:val="0"/>
          <w:numId w:val="1"/>
        </w:numPr>
        <w:spacing w:lineRule="auto" w:line="268"/>
        <w:rPr>
          <w:rFonts w:ascii="Calibri" w:hAnsi="Calibri" w:eastAsia="" w:cs="" w:asciiTheme="minorHAnsi" w:cstheme="minorBidi" w:eastAsiaTheme="minorEastAsia" w:hAnsiTheme="minorHAnsi"/>
          <w:color w:val="000000" w:themeColor="text1"/>
        </w:rPr>
      </w:pPr>
      <w:r>
        <w:rPr>
          <w:color w:val="000000" w:themeColor="text1"/>
        </w:rPr>
        <w:t xml:space="preserve">posiadanie przez gminę oświadczenia złożonego przez opiekuna prawnego dziecka lub ucznia szkoły średniej, który osiągnął pełnoletność, stanowiącego załącznik nr 8 oraz 9 do dokumentacji konkursowej, </w:t>
      </w:r>
    </w:p>
    <w:p>
      <w:pPr>
        <w:pStyle w:val="ListParagraph"/>
        <w:numPr>
          <w:ilvl w:val="0"/>
          <w:numId w:val="1"/>
        </w:numPr>
        <w:spacing w:lineRule="auto" w:line="268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Potwierdzenia przekazania sprzętu opiekunowi prawnemu dziecka lub</w:t>
      </w:r>
      <w:r>
        <w:rPr>
          <w:color w:val="000000" w:themeColor="text1"/>
        </w:rPr>
        <w:t xml:space="preserve"> uczniowi szkoły średniej, który osiągnął pełnoletność</w:t>
      </w:r>
      <w:r>
        <w:rPr>
          <w:color w:val="000000" w:themeColor="text1"/>
          <w:szCs w:val="20"/>
        </w:rPr>
        <w:t>.</w:t>
      </w:r>
    </w:p>
    <w:p>
      <w:pPr>
        <w:pStyle w:val="ListParagraph"/>
        <w:numPr>
          <w:ilvl w:val="0"/>
          <w:numId w:val="14"/>
        </w:numPr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/>
        <w:t xml:space="preserve">W celu rozliczenia grantu, </w:t>
      </w:r>
      <w:r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>
      <w:pPr>
        <w:pStyle w:val="ListParagraph"/>
        <w:numPr>
          <w:ilvl w:val="0"/>
          <w:numId w:val="14"/>
        </w:numPr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</w:rPr>
      </w:pPr>
      <w:r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>
      <w:pPr>
        <w:pStyle w:val="ListParagraph"/>
        <w:numPr>
          <w:ilvl w:val="0"/>
          <w:numId w:val="14"/>
        </w:numPr>
        <w:spacing w:lineRule="auto" w:line="256"/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Grantobiorca zobowiązany jest do przestrzegania zasady zakazu podwójnego finansowania zgodnie, </w:t>
      </w:r>
      <w:r>
        <w:rPr/>
        <w:br/>
      </w:r>
      <w:r>
        <w:rPr>
          <w:color w:val="000000" w:themeColor="text1"/>
          <w:szCs w:val="20"/>
        </w:rPr>
        <w:t xml:space="preserve">z którą niedozwolone jest zrefundowanie lub rozliczenie - całkowite lub częściowe danego kosztu dwa razy ze środków publicznych europejskich lub krajowych np. poprzez wykazanie tego samego kosztu </w:t>
      </w:r>
      <w:r>
        <w:rPr/>
        <w:br/>
      </w:r>
      <w:r>
        <w:rPr>
          <w:color w:val="000000" w:themeColor="text1"/>
          <w:szCs w:val="20"/>
        </w:rPr>
        <w:t>w ramach dwóch różnych projektów współfinansowanych ze środków krajowych lub wspólnotowych w celu rozliczenia grantu.</w:t>
      </w:r>
    </w:p>
    <w:p>
      <w:pPr>
        <w:pStyle w:val="ListParagraph"/>
        <w:numPr>
          <w:ilvl w:val="0"/>
          <w:numId w:val="14"/>
        </w:numPr>
        <w:spacing w:lineRule="auto" w:line="256"/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>
          <w:color w:val="000000" w:themeColor="text1"/>
        </w:rPr>
        <w:t>Grantobiorca jest zobowiązany do utrzymania efektów projektu, w tym do opracowania oraz wdrożenia procedury monitorowania utrzymania efektów projektu tj. utrzymania środków trwałych i usług nabytych w ramach projektu przez okres 2 lat od zakończenia projektu oraz utrzymania trwałości projektu (jeśli dotyczy). Za zakończenie projektu rozumie się zaakceptowanie przez Operatora końcowego rozliczenia projektu grantowego.</w:t>
      </w:r>
    </w:p>
    <w:p>
      <w:pPr>
        <w:pStyle w:val="ListParagraph"/>
        <w:numPr>
          <w:ilvl w:val="0"/>
          <w:numId w:val="14"/>
        </w:numPr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/>
        <w:t xml:space="preserve">W ramach grantu kwalifikowalne są wydatki na sprzęt zakupiony od 01.02.2020 do końca realizacji Projektu Grantowego, zgodnie z Umową o powierzenie grantu, o ile spełnione zostaną łącznie wszystkie warunki wskazane w dokumentacji konkursowej. </w:t>
      </w:r>
    </w:p>
    <w:p>
      <w:pPr>
        <w:pStyle w:val="ListParagraph"/>
        <w:numPr>
          <w:ilvl w:val="0"/>
          <w:numId w:val="14"/>
        </w:numPr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/>
        <w:t xml:space="preserve">Projekt grantowy powinien trwać maksymalnie 10 miesięcy od dnia podpisania umowy o powierzenie grantu.  </w:t>
      </w:r>
    </w:p>
    <w:p>
      <w:pPr>
        <w:pStyle w:val="ListParagraph"/>
        <w:numPr>
          <w:ilvl w:val="0"/>
          <w:numId w:val="14"/>
        </w:numPr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/>
        <w:t xml:space="preserve">Grantobiorca jest zobowiązany do wydatkowania grantu zgodnie z przepisami obowiązującego prawa, w sposób oszczędny, w okresie realizacji projektu i zgodnie z jego celami. </w:t>
      </w:r>
    </w:p>
    <w:p>
      <w:pPr>
        <w:pStyle w:val="ListParagraph"/>
        <w:numPr>
          <w:ilvl w:val="0"/>
          <w:numId w:val="14"/>
        </w:numPr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  <w:szCs w:val="20"/>
        </w:rPr>
      </w:pPr>
      <w:r>
        <w:rPr/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6">
        <w:r>
          <w:rPr>
            <w:rStyle w:val="Czeinternetowe"/>
          </w:rPr>
          <w:t>https://bazakonkurencyjnosci.funduszeeuropejskie.gov.pl/</w:t>
        </w:r>
      </w:hyperlink>
      <w:r>
        <w:rPr/>
        <w:t xml:space="preserve">.   </w:t>
      </w:r>
    </w:p>
    <w:p>
      <w:pPr>
        <w:pStyle w:val="ListParagraph"/>
        <w:numPr>
          <w:ilvl w:val="0"/>
          <w:numId w:val="14"/>
        </w:numPr>
        <w:ind w:left="426" w:right="726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</w:rPr>
      </w:pPr>
      <w:r>
        <w:rPr/>
        <w:t>Grantobiorca zobowiązany jest do zweryfikowania oświadczeń złożonych przez opiekunów prawnych  oraz osoby pełnoletnie składające oświadczenie we własnym imieniu, w zakresie ich poprawności. W szczególności, do zweryfikowania, czy składający oświadczenie jest uprawniony do ubiegania się o wsparcie. Grantobiorca w celu potwierdzenia poprawności danych w oświadczeniu może korzystać z informacji uzyskanych z KOWR oraz innych danych i rejestrów państwowych znajdujących się w jego zasobach, lub na podstawie dokumentów przedłożonych przez składającego oświadczenie.</w:t>
      </w:r>
    </w:p>
    <w:p>
      <w:pPr>
        <w:pStyle w:val="Nagwek1"/>
        <w:tabs>
          <w:tab w:val="clear" w:pos="708"/>
          <w:tab w:val="center" w:pos="2228" w:leader="none"/>
          <w:tab w:val="center" w:pos="4889" w:leader="none"/>
        </w:tabs>
        <w:ind w:left="0" w:right="726" w:hanging="0"/>
        <w:rPr>
          <w:rFonts w:ascii="Calibri" w:hAnsi="Calibri" w:eastAsia="Arial" w:cs="Arial" w:asciiTheme="minorHAnsi" w:hAnsiTheme="minorHAnsi"/>
          <w:sz w:val="22"/>
        </w:rPr>
      </w:pPr>
      <w:bookmarkStart w:id="8" w:name="_Toc18522"/>
      <w:r>
        <w:rPr>
          <w:rFonts w:asciiTheme="minorHAnsi" w:hAnsiTheme="minorHAnsi"/>
          <w:sz w:val="22"/>
        </w:rPr>
        <w:t>§5</w:t>
      </w:r>
    </w:p>
    <w:p>
      <w:pPr>
        <w:pStyle w:val="Nagwek1"/>
        <w:tabs>
          <w:tab w:val="clear" w:pos="708"/>
          <w:tab w:val="center" w:pos="2228" w:leader="none"/>
          <w:tab w:val="center" w:pos="4889" w:leader="none"/>
        </w:tabs>
        <w:ind w:left="0" w:right="726" w:hanging="0"/>
        <w:rPr>
          <w:rFonts w:ascii="Calibri" w:hAnsi="Calibri" w:asciiTheme="minorHAnsi" w:hAnsiTheme="minorHAnsi"/>
          <w:sz w:val="22"/>
        </w:rPr>
      </w:pPr>
      <w:bookmarkStart w:id="9" w:name="_Toc18522"/>
      <w:r>
        <w:rPr>
          <w:rFonts w:asciiTheme="minorHAnsi" w:hAnsiTheme="minorHAnsi"/>
          <w:sz w:val="22"/>
        </w:rPr>
        <w:t>Zasady i sposób wyboru Wnioskodawców</w:t>
      </w:r>
      <w:bookmarkStart w:id="10" w:name="_Toc36566158"/>
      <w:bookmarkEnd w:id="9"/>
      <w:bookmarkEnd w:id="10"/>
    </w:p>
    <w:p>
      <w:pPr>
        <w:pStyle w:val="Nagwek3"/>
        <w:ind w:left="0" w:right="726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eastAsia="Arial" w:cs="Arial"/>
        </w:rPr>
        <w:t xml:space="preserve"> </w:t>
      </w:r>
      <w:r>
        <w:rPr>
          <w:rFonts w:asciiTheme="minorHAnsi" w:hAnsiTheme="minorHAnsi"/>
        </w:rPr>
        <w:t>Nabór Wniosków o przyznanie Grantów</w:t>
      </w:r>
    </w:p>
    <w:p>
      <w:pPr>
        <w:pStyle w:val="Normal"/>
        <w:numPr>
          <w:ilvl w:val="0"/>
          <w:numId w:val="12"/>
        </w:numPr>
        <w:spacing w:before="0" w:after="36"/>
        <w:ind w:left="720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Wnioskodawcy zostaną wybrani w otwartym naborze, z zachowaniem zasady bezstronności </w:t>
        <w:br/>
        <w:t xml:space="preserve">i przejrzystości. </w:t>
      </w:r>
    </w:p>
    <w:p>
      <w:pPr>
        <w:pStyle w:val="ListParagraph"/>
        <w:numPr>
          <w:ilvl w:val="0"/>
          <w:numId w:val="12"/>
        </w:numPr>
        <w:spacing w:before="0" w:after="36"/>
        <w:ind w:left="720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Nabór Wniosków trwać będzie od 4 października 2021r. od godziny 10:00 do 5 listopada 2021r. do godziny 16:00. W uzasadnionych przypadkach może zostać wydłużony. Lista podmiotów uprawnionych do uczestnictwa w naborze stanowi załącznik nr 2 do Regulaminu.</w:t>
      </w:r>
    </w:p>
    <w:p>
      <w:pPr>
        <w:pStyle w:val="Normal"/>
        <w:numPr>
          <w:ilvl w:val="0"/>
          <w:numId w:val="12"/>
        </w:numPr>
        <w:spacing w:before="0" w:after="39"/>
        <w:ind w:left="720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Wszelkie zmiany w długości trwania naboru będą publikowane na Stronie internetowej Operatora/Grantodawcy  wraz z wskazaniem terminów składania Wniosków o przyznanie Grantów.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agwek3"/>
        <w:ind w:left="0" w:right="726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eastAsia="Arial" w:cs="Arial"/>
        </w:rPr>
        <w:t xml:space="preserve"> </w:t>
      </w:r>
      <w:r>
        <w:rPr>
          <w:rFonts w:asciiTheme="minorHAnsi" w:hAnsiTheme="minorHAnsi"/>
        </w:rPr>
        <w:t>Sposób składania Wniosków o przyznanie Grantu</w:t>
      </w:r>
    </w:p>
    <w:p>
      <w:pPr>
        <w:pStyle w:val="Annotationtext"/>
        <w:numPr>
          <w:ilvl w:val="0"/>
          <w:numId w:val="3"/>
        </w:numPr>
        <w:ind w:left="1065" w:right="726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Wzór Wniosku o przyznanie Grantu jest dostępny na Stronie internetowej Beneficjenta oraz stanowi załącznik nr 1 do Regulaminu.</w:t>
      </w:r>
    </w:p>
    <w:p>
      <w:pPr>
        <w:pStyle w:val="ListParagraph"/>
        <w:numPr>
          <w:ilvl w:val="0"/>
          <w:numId w:val="3"/>
        </w:numPr>
        <w:spacing w:before="0" w:after="36"/>
        <w:ind w:left="1065" w:right="721" w:hanging="360"/>
        <w:contextualSpacing/>
        <w:rPr>
          <w:rFonts w:ascii="Calibri" w:hAnsi="Calibri" w:eastAsia="" w:cs="" w:asciiTheme="minorHAnsi" w:cstheme="minorBidi" w:eastAsiaTheme="minorEastAsia" w:hAnsiTheme="minorHAnsi"/>
          <w:color w:val="000000" w:themeColor="text1"/>
        </w:rPr>
      </w:pPr>
      <w:r>
        <w:rPr>
          <w:rFonts w:asciiTheme="minorHAnsi" w:hAnsiTheme="minorHAnsi"/>
        </w:rPr>
        <w:t xml:space="preserve">Wniosek o przyznanie Grantu należy wypełnić za pomocą Generatora Wniosków Grantowych, zamieszczonego na stronie internetowej pod adresem: </w:t>
      </w:r>
      <w:hyperlink r:id="rId7">
        <w:r>
          <w:rPr>
            <w:rStyle w:val="Czeinternetowe"/>
            <w:rFonts w:asciiTheme="minorHAnsi" w:hAnsiTheme="minorHAnsi"/>
          </w:rPr>
          <w:t>https://gov.pl/cppc/wsparcie-ppgr</w:t>
        </w:r>
      </w:hyperlink>
      <w:r>
        <w:rPr>
          <w:rFonts w:asciiTheme="minorHAnsi" w:hAnsiTheme="minorHAnsi"/>
        </w:rPr>
        <w:t xml:space="preserve">. </w:t>
      </w:r>
    </w:p>
    <w:p>
      <w:pPr>
        <w:pStyle w:val="ListParagraph"/>
        <w:numPr>
          <w:ilvl w:val="0"/>
          <w:numId w:val="3"/>
        </w:numPr>
        <w:spacing w:before="0" w:after="36"/>
        <w:ind w:left="1065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Wraz z wnioskiem o przyznanie grantu, należy przekazać pozytywną opinię KOWR o której mowa w §3 pkt 2 </w:t>
      </w:r>
    </w:p>
    <w:p>
      <w:pPr>
        <w:pStyle w:val="ListParagraph"/>
        <w:numPr>
          <w:ilvl w:val="0"/>
          <w:numId w:val="3"/>
        </w:numPr>
        <w:spacing w:before="0" w:after="36"/>
        <w:ind w:left="1065" w:right="721" w:hanging="36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Złożenie Wniosku o przyznanie Grantu jest możliwe wyłącznie przez Wnioskodawcę, który we wniosku o przyznanie Grantu oświadczy, że zapoznał się z regulaminem konkursu i akceptuje jego zasady.</w:t>
      </w:r>
    </w:p>
    <w:p>
      <w:pPr>
        <w:pStyle w:val="ListParagraph"/>
        <w:numPr>
          <w:ilvl w:val="0"/>
          <w:numId w:val="3"/>
        </w:numPr>
        <w:spacing w:before="240" w:after="36"/>
        <w:ind w:left="1065" w:right="721" w:hanging="356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Wnioskodawca ma możliwość wycofania Wniosku o przyznanie Grantu przesyłając za pośrednictwem GWG pismo z informacją o wycofaniu podpisane elektronicznie zgodnie </w:t>
      </w:r>
      <w:r>
        <w:rPr/>
        <w:br/>
      </w:r>
      <w:r>
        <w:rPr>
          <w:rFonts w:asciiTheme="minorHAnsi" w:hAnsiTheme="minorHAnsi"/>
        </w:rPr>
        <w:t xml:space="preserve">z reprezentacją Wnioskodawcy. </w:t>
      </w:r>
    </w:p>
    <w:p>
      <w:pPr>
        <w:pStyle w:val="Nagwek3"/>
        <w:spacing w:before="240" w:after="169"/>
        <w:ind w:left="0" w:right="726" w:hanging="1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eastAsia="Arial" w:cs="Arial"/>
        </w:rPr>
        <w:t xml:space="preserve"> </w:t>
      </w:r>
      <w:r>
        <w:rPr>
          <w:rFonts w:asciiTheme="minorHAnsi" w:hAnsiTheme="minorHAnsi"/>
        </w:rPr>
        <w:t xml:space="preserve">Sposób i zasady oceny Wniosków o przyznanie Grantu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Ocena będzie dokonywana przez Komisję Przyznającą Granty. Po wstępnej walidacji wniosku grantowego możliwe będzie naniesienie poprawek przez Grantobiorcę zgodnie z uwagami KPG.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>
        <w:rPr>
          <w:rFonts w:asciiTheme="minorHAnsi" w:hAnsiTheme="minorHAnsi"/>
          <w:color w:val="auto"/>
        </w:rPr>
        <w:t xml:space="preserve">GWG do </w:t>
      </w:r>
      <w:r>
        <w:rPr>
          <w:rFonts w:asciiTheme="minorHAnsi" w:hAnsiTheme="minorHAnsi"/>
        </w:rPr>
        <w:t xml:space="preserve">Wnioskodawcy informację, w zakresie braków oraz sposobu uzupełnienia Wniosku o przyznanie Grantu. Wnioskodawca w terminie 3 dni roboczych usunie oczywistą omyłkę lub uzupełni braki.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Jeżeli Wnioskodawca nie poprawi lub nie uzupełni wniosku grantowego w terminie lub zakresie wskazanym w wezwaniu, o którym mowa w pkt 2, ocena Projektu  Grantowego prowadzona jest na podstawie złożonego Wniosku o przyznanie Grantu.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 przypadku omyłek lub braków we Wniosku o przyznanie Grantu, które nie uniemożliwiają dokonania oceny Wniosku, dopuszcza się skorygowanie stwierdzonych błędów przy popisaniu Umowy o powierzenie Grantu.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Wnioski o przyznanie Grantu zostaną poddane ocenie formalno-merytorycznej w oparciu o kryteria wyboru Projektów Grantowych, określone w załączniku nr 3 do niniejszego Regulaminu.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Oceny formalno-merytorycznej dokonuje KPG.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skład KPG wchodzą pracownicy Operatora w tym: Przewodniczący, Sekretarz i co najmniej dwóch Oceniających.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Czas przewidziany na ocenę Wniosków o przyznanie Grantu trwa ok. 40 dni.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Prawdziwość oświadczeń i danych zawartych we Wniosku o przyznanie Grantu może zostać zweryfikowana w trakcie weryfikacji warunków formalnych i oceny, jak również przed i po zawarciu Umowy o powierzenie Grantu.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Wnioskodawca ma prawo dostępu do dokumentów związanych z oceną złożonego przez siebie Wniosku o przyznanie Grantu, z zastrzeżeniem, że dane osobowe członków KPG dokonujących oceny nie podlegają ujawnieniu.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Wyniki oceny formalno-merytorycznej zostaną opublikowane na Stronie internetowej Operatora/ Grantobiorcy, a informacja o zakończeniu oceny zostanie wysłana przez GWG do Wnioskodawców.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Projekt może zostać wybrany do dofinansowania, jeżeli jednocześnie:</w:t>
      </w:r>
    </w:p>
    <w:p>
      <w:pPr>
        <w:pStyle w:val="Normal"/>
        <w:spacing w:before="0" w:after="96"/>
        <w:ind w:left="0" w:right="721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>a) spełnił kryteria wyboru projektów;</w:t>
      </w:r>
    </w:p>
    <w:p>
      <w:pPr>
        <w:pStyle w:val="Normal"/>
        <w:spacing w:before="0" w:after="96"/>
        <w:ind w:left="1065" w:right="721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b) Wnioskodawca nie został wykluczony z możliwości otrzymania dofinansowania zgodnie z art. 37 ust. 3 ustawy wdrożeniowej. </w:t>
      </w:r>
    </w:p>
    <w:p>
      <w:pPr>
        <w:pStyle w:val="Normal"/>
        <w:numPr>
          <w:ilvl w:val="0"/>
          <w:numId w:val="4"/>
        </w:numPr>
        <w:ind w:left="1065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Członkowie KPG są zobowiązani do złożenia oświadczenia o bezstronności i braku osobistego interesu w procesie oceny. Za konflikt interesów uważa się jakiekolwiek przesłanki osobiste, rodzinne, zawodowe, finansowe czy innej natury mogące przeszkodzić w bezstronnej ocenie Wniosku o przyznanie Grantu. </w:t>
      </w:r>
    </w:p>
    <w:p>
      <w:pPr>
        <w:pStyle w:val="Normal"/>
        <w:spacing w:before="0" w:after="96"/>
        <w:ind w:left="1065" w:right="721" w:hanging="0"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agwek1"/>
        <w:tabs>
          <w:tab w:val="clear" w:pos="708"/>
          <w:tab w:val="center" w:pos="2252" w:leader="none"/>
          <w:tab w:val="center" w:pos="4890" w:leader="none"/>
        </w:tabs>
        <w:ind w:left="0" w:right="726" w:hanging="0"/>
        <w:rPr>
          <w:rFonts w:ascii="Calibri" w:hAnsi="Calibri" w:asciiTheme="minorHAnsi" w:hAnsiTheme="minorHAnsi"/>
          <w:sz w:val="22"/>
        </w:rPr>
      </w:pPr>
      <w:bookmarkStart w:id="11" w:name="_Toc18524"/>
      <w:r>
        <w:rPr>
          <w:rFonts w:asciiTheme="minorHAnsi" w:hAnsiTheme="minorHAnsi"/>
          <w:sz w:val="22"/>
        </w:rPr>
        <w:t>§6</w:t>
      </w:r>
    </w:p>
    <w:p>
      <w:pPr>
        <w:pStyle w:val="Nagwek1"/>
        <w:tabs>
          <w:tab w:val="clear" w:pos="708"/>
          <w:tab w:val="center" w:pos="2252" w:leader="none"/>
          <w:tab w:val="center" w:pos="4890" w:leader="none"/>
        </w:tabs>
        <w:ind w:left="0" w:right="726" w:hanging="0"/>
        <w:rPr>
          <w:rFonts w:ascii="Calibri" w:hAnsi="Calibri" w:asciiTheme="minorHAnsi" w:hAnsiTheme="minorHAnsi"/>
          <w:sz w:val="22"/>
        </w:rPr>
      </w:pPr>
      <w:bookmarkStart w:id="12" w:name="_Toc18524"/>
      <w:r>
        <w:rPr>
          <w:rFonts w:asciiTheme="minorHAnsi" w:hAnsiTheme="minorHAnsi"/>
          <w:sz w:val="22"/>
        </w:rPr>
        <w:t>Podpisanie Umowy o powierzenie Grantu</w:t>
      </w:r>
      <w:bookmarkStart w:id="13" w:name="_Toc36566160"/>
      <w:bookmarkEnd w:id="12"/>
      <w:bookmarkEnd w:id="13"/>
    </w:p>
    <w:p>
      <w:pPr>
        <w:pStyle w:val="ListParagraph"/>
        <w:numPr>
          <w:ilvl w:val="3"/>
          <w:numId w:val="6"/>
        </w:numPr>
        <w:spacing w:before="0" w:after="156"/>
        <w:ind w:left="709" w:right="721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Wzór Umowy o powierzenie Grantu stanowi załącznik nr 4 do niniejszego Regulaminu.</w:t>
      </w:r>
    </w:p>
    <w:p>
      <w:pPr>
        <w:pStyle w:val="ListParagraph"/>
        <w:numPr>
          <w:ilvl w:val="3"/>
          <w:numId w:val="6"/>
        </w:numPr>
        <w:spacing w:before="0" w:after="156"/>
        <w:ind w:left="709" w:right="721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Wraz z informacją o wyborze projektu do dofinansowania, Operator wzywa Wnioskodawcę za pośrednictwem GWG, do dostarczenia dokumentów niezbędnych do zawarcia umowy o powierzenie Grantu, wymienionych w załączniku nr 6 do Regulaminu. </w:t>
      </w:r>
    </w:p>
    <w:p>
      <w:pPr>
        <w:pStyle w:val="ListParagraph"/>
        <w:numPr>
          <w:ilvl w:val="3"/>
          <w:numId w:val="6"/>
        </w:numPr>
        <w:spacing w:before="0" w:after="156"/>
        <w:ind w:left="709" w:right="721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Umowa o powierzenie Grantu zostaje zawarta w formie elektronicznej. </w:t>
      </w:r>
    </w:p>
    <w:p>
      <w:pPr>
        <w:pStyle w:val="ListParagraph"/>
        <w:numPr>
          <w:ilvl w:val="3"/>
          <w:numId w:val="6"/>
        </w:numPr>
        <w:spacing w:before="0" w:after="156"/>
        <w:ind w:left="709" w:right="721" w:hanging="283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Wnioskodawca dostarcza dokumenty niezbędne do zawarcia Umowy o powierzenie Grantu w terminie 14 dni od dnia otrzymania przez Wnioskodawcę wezwania, o którym mowa w ust. 2. W przypadku niedostarczenia kompletnych co do formy i treści dokumentów w tym terminie, Operator może odmówić zawarcia Umowy o powierzenie Grantu. </w:t>
      </w:r>
      <w:bookmarkStart w:id="14" w:name="_Toc36566161"/>
      <w:bookmarkStart w:id="15" w:name="_Toc18525"/>
    </w:p>
    <w:p>
      <w:pPr>
        <w:pStyle w:val="ListParagraph"/>
        <w:spacing w:before="0" w:after="156"/>
        <w:ind w:left="1080" w:right="721" w:hanging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agwek1"/>
        <w:tabs>
          <w:tab w:val="clear" w:pos="708"/>
          <w:tab w:val="center" w:pos="3453" w:leader="none"/>
          <w:tab w:val="center" w:pos="5245" w:leader="none"/>
        </w:tabs>
        <w:ind w:left="0" w:right="72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§7</w:t>
      </w:r>
    </w:p>
    <w:p>
      <w:pPr>
        <w:pStyle w:val="Nagwek1"/>
        <w:tabs>
          <w:tab w:val="clear" w:pos="708"/>
          <w:tab w:val="center" w:pos="3453" w:leader="none"/>
          <w:tab w:val="center" w:pos="5245" w:leader="none"/>
        </w:tabs>
        <w:ind w:left="0" w:right="726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Postanowienia końcowe</w:t>
      </w:r>
      <w:bookmarkEnd w:id="14"/>
      <w:bookmarkEnd w:id="15"/>
    </w:p>
    <w:p>
      <w:pPr>
        <w:pStyle w:val="Normal"/>
        <w:numPr>
          <w:ilvl w:val="0"/>
          <w:numId w:val="5"/>
        </w:numPr>
        <w:spacing w:before="0" w:after="156"/>
        <w:ind w:left="720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Składając Wniosek o przyznanie Grantu, Wnioskodawca akceptuje zasady Konkursu zawarte </w:t>
        <w:br/>
        <w:t xml:space="preserve">w niniejszym Regulaminie. </w:t>
      </w:r>
    </w:p>
    <w:p>
      <w:pPr>
        <w:pStyle w:val="Normal"/>
        <w:numPr>
          <w:ilvl w:val="0"/>
          <w:numId w:val="5"/>
        </w:numPr>
        <w:spacing w:before="0" w:after="156"/>
        <w:ind w:left="720" w:right="721" w:hanging="360"/>
        <w:rPr>
          <w:rFonts w:ascii="Calibri" w:hAnsi="Calibri" w:eastAsia="" w:cs="" w:asciiTheme="minorHAnsi" w:cstheme="minorBidi" w:eastAsiaTheme="minorEastAsia" w:hAnsiTheme="minorHAnsi"/>
          <w:color w:val="000000" w:themeColor="text1"/>
        </w:rPr>
      </w:pPr>
      <w:r>
        <w:rPr>
          <w:rFonts w:asciiTheme="minorHAnsi" w:hAnsiTheme="minorHAnsi"/>
        </w:rPr>
        <w:t xml:space="preserve">Odpowiedzi na najczęstsze pytania dotyczące konkursu będą publikowane w FAQ na stronie: </w:t>
      </w:r>
      <w:hyperlink r:id="rId8">
        <w:r>
          <w:rPr>
            <w:rStyle w:val="Czeinternetowe"/>
          </w:rPr>
          <w:t>https://gov.pl/cppc/wsparcie-ppgr</w:t>
        </w:r>
      </w:hyperlink>
      <w:r>
        <w:rPr>
          <w:rStyle w:val="Czeinternetowe"/>
        </w:rPr>
        <w:t>.</w:t>
      </w:r>
    </w:p>
    <w:p>
      <w:pPr>
        <w:pStyle w:val="Normal"/>
        <w:numPr>
          <w:ilvl w:val="0"/>
          <w:numId w:val="5"/>
        </w:numPr>
        <w:spacing w:before="0" w:after="156"/>
        <w:ind w:left="720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Ewentualne pytania dotyczące Konkursu Grantowego Wnioskodawcy mogą zgłaszać na adres e-mail: </w:t>
      </w:r>
      <w:r>
        <w:rPr/>
        <w:t xml:space="preserve"> </w:t>
      </w:r>
      <w:hyperlink r:id="rId9">
        <w:r>
          <w:rPr>
            <w:rStyle w:val="Czeinternetowe"/>
          </w:rPr>
          <w:t>granty.ppgr@cppc.gov.pl</w:t>
        </w:r>
      </w:hyperlink>
      <w:r>
        <w:rPr/>
        <w:t xml:space="preserve"> oraz na infolinię obsługiwaną przez Operatora pod nr: </w:t>
      </w:r>
      <w:r>
        <w:rPr>
          <w:rFonts w:asciiTheme="minorHAnsi" w:hAnsiTheme="minorHAnsi"/>
        </w:rPr>
        <w:t xml:space="preserve">+48 42 631 21 05. Odpowiedzi polegające na wyjaśnieniu procedur będą dodatkowo zamieszczane w FAQ. </w:t>
      </w:r>
    </w:p>
    <w:p>
      <w:pPr>
        <w:pStyle w:val="Normal"/>
        <w:numPr>
          <w:ilvl w:val="0"/>
          <w:numId w:val="5"/>
        </w:numPr>
        <w:spacing w:before="0" w:after="156"/>
        <w:ind w:left="720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>
      <w:pPr>
        <w:pStyle w:val="Normal"/>
        <w:numPr>
          <w:ilvl w:val="0"/>
          <w:numId w:val="5"/>
        </w:numPr>
        <w:spacing w:before="0" w:after="156"/>
        <w:ind w:left="720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przypadku zmiany Regulaminu, Centrum Projektów Polska Cyfrowa zamieszcza na Stronie internetowej Projektu informację o jego zmianie, aktualną treść Regulaminu, uzasadnienie zmiany oraz termin, od którego stosuje się zmianę, udostępniając na stronie działania poprzednie wersję Regulaminu.</w:t>
      </w:r>
    </w:p>
    <w:p>
      <w:pPr>
        <w:pStyle w:val="Normal"/>
        <w:numPr>
          <w:ilvl w:val="0"/>
          <w:numId w:val="5"/>
        </w:numPr>
        <w:spacing w:before="0" w:after="156"/>
        <w:ind w:left="720" w:right="721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Centrum Projektów Polska Cyfrowa zastrzega możliwość anulowania konkursu, w szczególności </w:t>
      </w:r>
      <w:r>
        <w:rPr/>
        <w:br/>
      </w:r>
      <w:r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>
      <w:pPr>
        <w:pStyle w:val="ListParagraph"/>
        <w:spacing w:before="0" w:after="156"/>
        <w:ind w:left="720" w:right="721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before="0" w:after="156"/>
        <w:ind w:left="720" w:right="721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before="0" w:after="156"/>
        <w:ind w:left="720" w:right="721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before="0" w:after="156"/>
        <w:ind w:left="720" w:right="721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before="0" w:after="156"/>
        <w:ind w:left="720" w:right="721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before="0" w:after="156"/>
        <w:ind w:left="720" w:right="721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before="0" w:after="156"/>
        <w:ind w:left="720" w:right="721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  <w:r>
        <w:br w:type="page"/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Załączniki: 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Wzór Wniosku o przyznanie Grantu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Kryteria wyboru Projektów Grantowych 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Instrukcja wypełniania wniosku o udzielenie Grantu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Wzór Umowy o powierzenie Grantu 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Lista dokumentów niezbędnych do podpisania Umowy o powierzenie Grantu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>
          <w:rFonts w:ascii="Calibri" w:hAnsi="Calibri" w:eastAsia="" w:cs="" w:asciiTheme="minorHAnsi" w:cstheme="minorBidi" w:eastAsiaTheme="minorEastAsia" w:hAnsiTheme="minorHAnsi"/>
          <w:color w:val="000000" w:themeColor="text1"/>
        </w:rPr>
      </w:pPr>
      <w:r>
        <w:rPr/>
        <w:t>Załącznik do wniosku rozliczającego grant - Oświadczenie Grantobiorcy o kwalifikowalności podatku VAT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>
          <w:rFonts w:ascii="Calibri" w:hAnsi="Calibri" w:asciiTheme="minorHAnsi" w:hAnsiTheme="minorHAnsi"/>
        </w:rPr>
      </w:pPr>
      <w:r>
        <w:rPr>
          <w:color w:val="000000" w:themeColor="text1"/>
        </w:rPr>
        <w:t>Wzór oświadczenia rodzica/opiekuna prawnego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0" w:hanging="360"/>
        <w:contextualSpacing/>
        <w:jc w:val="left"/>
        <w:rPr/>
      </w:pPr>
      <w:r>
        <w:rPr>
          <w:color w:val="000000" w:themeColor="text1"/>
          <w:szCs w:val="20"/>
        </w:rPr>
        <w:t>Wzór oświadczenia osoby składającej oświadczenie we własnym imieniu (dotyczy beneficjentów końcowych, pobierających nauki w roku szkolnym 2021/2022 którzy ukończyli 18 rok życia)</w:t>
      </w:r>
    </w:p>
    <w:p>
      <w:pPr>
        <w:pStyle w:val="ListParagraph"/>
        <w:spacing w:lineRule="auto" w:line="259" w:before="0" w:after="0"/>
        <w:ind w:left="720" w:right="0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spacing w:lineRule="auto" w:line="259" w:before="0" w:after="0"/>
        <w:ind w:left="720" w:right="0" w:hanging="0"/>
        <w:contextualSpacing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125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footnotePr>
        <w:numFmt w:val="decimal"/>
      </w:footnotePr>
      <w:type w:val="nextPage"/>
      <w:pgSz w:w="11906" w:h="16838"/>
      <w:pgMar w:left="1416" w:right="689" w:header="708" w:top="765" w:footer="708" w:bottom="76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726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asciiTheme="minorHAnsi" w:hAnsiTheme="minorHAnsi"/>
          <w:sz w:val="16"/>
          <w:szCs w:val="16"/>
          <w:lang w:val="pl-PL"/>
        </w:rPr>
      </w:pPr>
      <w:r>
        <w:rPr>
          <w:rStyle w:val="Znakiprzypiswdolnych"/>
        </w:rPr>
        <w:footnoteRef/>
      </w:r>
      <w:r>
        <w:rPr>
          <w:sz w:val="16"/>
          <w:szCs w:val="16"/>
          <w:lang w:val="pl-PL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  <w:lang w:val="pl-PL"/>
        </w:rPr>
        <w:t xml:space="preserve">Na podstawie </w:t>
      </w:r>
      <w:r>
        <w:rPr>
          <w:rFonts w:ascii="Calibri" w:hAnsi="Calibri"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>
      <w:pPr>
        <w:pStyle w:val="Przypisdolny"/>
        <w:rPr>
          <w:sz w:val="16"/>
          <w:szCs w:val="16"/>
          <w:lang w:val="pl-PL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  <w:t>REGULAMIN KONKURSU GRANTOWEGO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90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Calibri" w:hAnsi="Calibri" w:cs="Calibri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1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7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9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1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3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5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7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9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3148"/>
    <w:pPr>
      <w:widowControl/>
      <w:bidi w:val="0"/>
      <w:spacing w:lineRule="auto" w:line="271" w:before="0" w:after="125"/>
      <w:ind w:left="10" w:right="726" w:hanging="10"/>
      <w:jc w:val="both"/>
    </w:pPr>
    <w:rPr>
      <w:rFonts w:ascii="Calibri" w:hAnsi="Calibri" w:eastAsia="Calibri" w:cs="Calibri"/>
      <w:color w:val="000000"/>
      <w:kern w:val="0"/>
      <w:sz w:val="20"/>
      <w:szCs w:val="22"/>
      <w:lang w:eastAsia="pl-PL" w:val="pl-PL" w:bidi="ar-SA"/>
    </w:rPr>
  </w:style>
  <w:style w:type="paragraph" w:styleId="Nagwek1">
    <w:name w:val="Heading 1"/>
    <w:next w:val="Normal"/>
    <w:link w:val="Nagwek1Znak"/>
    <w:uiPriority w:val="9"/>
    <w:unhideWhenUsed/>
    <w:qFormat/>
    <w:rsid w:val="00f33148"/>
    <w:pPr>
      <w:keepNext w:val="true"/>
      <w:keepLines/>
      <w:widowControl/>
      <w:bidi w:val="0"/>
      <w:spacing w:lineRule="auto" w:line="259" w:before="0" w:after="133"/>
      <w:ind w:left="10" w:hanging="10"/>
      <w:jc w:val="center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eastAsia="pl-PL" w:val="pl-PL" w:bidi="ar-SA"/>
    </w:rPr>
  </w:style>
  <w:style w:type="paragraph" w:styleId="Nagwek2">
    <w:name w:val="Heading 2"/>
    <w:next w:val="Normal"/>
    <w:link w:val="Nagwek2Znak"/>
    <w:uiPriority w:val="9"/>
    <w:unhideWhenUsed/>
    <w:qFormat/>
    <w:rsid w:val="00f33148"/>
    <w:pPr>
      <w:keepNext w:val="true"/>
      <w:keepLines/>
      <w:widowControl/>
      <w:bidi w:val="0"/>
      <w:spacing w:lineRule="auto" w:line="259" w:before="0" w:after="133"/>
      <w:ind w:left="10" w:hanging="10"/>
      <w:jc w:val="center"/>
      <w:outlineLvl w:val="1"/>
    </w:pPr>
    <w:rPr>
      <w:rFonts w:ascii="Calibri" w:hAnsi="Calibri" w:eastAsia="Calibri" w:cs="Calibri"/>
      <w:b/>
      <w:color w:val="000000"/>
      <w:kern w:val="0"/>
      <w:sz w:val="24"/>
      <w:szCs w:val="22"/>
      <w:lang w:eastAsia="pl-PL" w:val="pl-PL" w:bidi="ar-SA"/>
    </w:rPr>
  </w:style>
  <w:style w:type="paragraph" w:styleId="Nagwek3">
    <w:name w:val="Heading 3"/>
    <w:next w:val="Normal"/>
    <w:link w:val="Nagwek3Znak"/>
    <w:uiPriority w:val="9"/>
    <w:unhideWhenUsed/>
    <w:qFormat/>
    <w:rsid w:val="00f33148"/>
    <w:pPr>
      <w:keepNext w:val="true"/>
      <w:keepLines/>
      <w:widowControl/>
      <w:bidi w:val="0"/>
      <w:spacing w:lineRule="auto" w:line="259" w:before="0" w:after="169"/>
      <w:ind w:left="10" w:hanging="10"/>
      <w:jc w:val="left"/>
      <w:outlineLvl w:val="2"/>
    </w:pPr>
    <w:rPr>
      <w:rFonts w:ascii="Calibri" w:hAnsi="Calibri" w:eastAsia="Calibri" w:cs="Calibri"/>
      <w:b/>
      <w:color w:val="000000"/>
      <w:kern w:val="0"/>
      <w:sz w:val="20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33148"/>
    <w:rPr>
      <w:rFonts w:ascii="Calibri" w:hAnsi="Calibri" w:eastAsia="Calibri" w:cs="Calibri"/>
      <w:b/>
      <w:color w:val="000000"/>
      <w:sz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33148"/>
    <w:rPr>
      <w:rFonts w:ascii="Calibri" w:hAnsi="Calibri" w:eastAsia="Calibri" w:cs="Calibri"/>
      <w:b/>
      <w:color w:val="000000"/>
      <w:sz w:val="24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33148"/>
    <w:rPr>
      <w:rFonts w:ascii="Calibri" w:hAnsi="Calibri" w:eastAsia="Calibri" w:cs="Calibri"/>
      <w:b/>
      <w:color w:val="000000"/>
      <w:sz w:val="20"/>
      <w:lang w:eastAsia="pl-PL"/>
    </w:rPr>
  </w:style>
  <w:style w:type="character" w:styleId="Annotationreference">
    <w:name w:val="annotation reference"/>
    <w:basedOn w:val="DefaultParagraphFont"/>
    <w:uiPriority w:val="99"/>
    <w:unhideWhenUsed/>
    <w:qFormat/>
    <w:rsid w:val="00497e9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97e9e"/>
    <w:rPr>
      <w:rFonts w:ascii="Calibri" w:hAnsi="Calibri" w:eastAsia="Calibri" w:cs="Calibri"/>
      <w:color w:val="000000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97e9e"/>
    <w:rPr>
      <w:rFonts w:ascii="Calibri" w:hAnsi="Calibri" w:eastAsia="Calibri" w:cs="Calibri"/>
      <w:b/>
      <w:bCs/>
      <w:color w:val="000000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97e9e"/>
    <w:rPr>
      <w:rFonts w:ascii="Segoe UI" w:hAnsi="Segoe UI" w:eastAsia="Calibri" w:cs="Segoe UI"/>
      <w:color w:val="000000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497e9e"/>
    <w:rPr>
      <w:color w:val="0563C1" w:themeColor="hyperlink"/>
      <w:u w:val="single"/>
    </w:rPr>
  </w:style>
  <w:style w:type="character" w:styleId="Highlight" w:customStyle="1">
    <w:name w:val="highlight"/>
    <w:basedOn w:val="DefaultParagraphFont"/>
    <w:qFormat/>
    <w:rsid w:val="00364a6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758cf"/>
    <w:rPr>
      <w:rFonts w:ascii="Trebuchet MS" w:hAnsi="Trebuchet MS" w:eastAsia="Trebuchet MS" w:cs="Trebuchet MS"/>
      <w:sz w:val="20"/>
      <w:szCs w:val="20"/>
      <w:lang w:val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e758cf"/>
    <w:rPr>
      <w:vertAlign w:val="superscript"/>
    </w:rPr>
  </w:style>
  <w:style w:type="character" w:styleId="Markedcontent" w:customStyle="1">
    <w:name w:val="markedcontent"/>
    <w:basedOn w:val="DefaultParagraphFont"/>
    <w:qFormat/>
    <w:rsid w:val="00fc1d64"/>
    <w:rPr/>
  </w:style>
  <w:style w:type="character" w:styleId="AkapitzlistZnak" w:customStyle="1">
    <w:name w:val="Akapit z listą Znak"/>
    <w:link w:val="Akapitzlist"/>
    <w:uiPriority w:val="99"/>
    <w:qFormat/>
    <w:locked/>
    <w:rsid w:val="00a856fe"/>
    <w:rPr>
      <w:rFonts w:ascii="Calibri" w:hAnsi="Calibri" w:eastAsia="Calibri" w:cs="Calibri"/>
      <w:color w:val="000000"/>
      <w:sz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a5523"/>
    <w:rPr>
      <w:rFonts w:ascii="Calibri" w:hAnsi="Calibri" w:eastAsia="Calibri" w:cs="Calibri"/>
      <w:color w:val="000000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a5523"/>
    <w:rPr>
      <w:vertAlign w:val="superscript"/>
    </w:rPr>
  </w:style>
  <w:style w:type="character" w:styleId="Normaltextrun" w:customStyle="1">
    <w:name w:val="normaltextrun"/>
    <w:basedOn w:val="DefaultParagraphFont"/>
    <w:qFormat/>
    <w:rsid w:val="00b004e8"/>
    <w:rPr/>
  </w:style>
  <w:style w:type="character" w:styleId="Eop" w:customStyle="1">
    <w:name w:val="eop"/>
    <w:basedOn w:val="DefaultParagraphFont"/>
    <w:qFormat/>
    <w:rsid w:val="00b004e8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8573a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b8573a"/>
    <w:rPr>
      <w:color w:val="954F72" w:themeColor="followedHyperlink"/>
      <w:u w:val="singl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pistreci1">
    <w:name w:val="TOC 1"/>
    <w:uiPriority w:val="39"/>
    <w:rsid w:val="00f33148"/>
    <w:pPr>
      <w:widowControl/>
      <w:bidi w:val="0"/>
      <w:spacing w:lineRule="auto" w:line="259" w:before="0" w:after="160"/>
      <w:ind w:left="15" w:right="15" w:hanging="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97e9e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97e9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97e9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735c08"/>
    <w:pPr>
      <w:spacing w:before="0" w:after="125"/>
      <w:ind w:left="720" w:right="726" w:hanging="1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758cf"/>
    <w:pPr>
      <w:widowControl w:val="false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szCs w:val="20"/>
      <w:lang w:val="en-US" w:eastAsia="en-US"/>
    </w:rPr>
  </w:style>
  <w:style w:type="paragraph" w:styleId="Revision">
    <w:name w:val="Revision"/>
    <w:uiPriority w:val="99"/>
    <w:semiHidden/>
    <w:qFormat/>
    <w:rsid w:val="008f680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l-PL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a5523"/>
    <w:pPr>
      <w:spacing w:lineRule="auto" w:line="240" w:before="0" w:after="0"/>
    </w:pPr>
    <w:rPr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lekcjaenter.pl/" TargetMode="External"/><Relationship Id="rId4" Type="http://schemas.openxmlformats.org/officeDocument/2006/relationships/hyperlink" Target="https://gov.pl/cppc/wsparcie-ppgr" TargetMode="External"/><Relationship Id="rId5" Type="http://schemas.openxmlformats.org/officeDocument/2006/relationships/hyperlink" Target="https://gov.pl/cppc/wsparcie-ppgr" TargetMode="External"/><Relationship Id="rId6" Type="http://schemas.openxmlformats.org/officeDocument/2006/relationships/hyperlink" Target="https://bazakonkurencyjnosci.funduszeeuropejskie.gov.pl/" TargetMode="External"/><Relationship Id="rId7" Type="http://schemas.openxmlformats.org/officeDocument/2006/relationships/hyperlink" Target="https://gov.pl/cppc/wsparcie-ppgr" TargetMode="External"/><Relationship Id="rId8" Type="http://schemas.openxmlformats.org/officeDocument/2006/relationships/hyperlink" Target="https://gov.pl/cppc/wsparcie-ppgr" TargetMode="External"/><Relationship Id="rId9" Type="http://schemas.openxmlformats.org/officeDocument/2006/relationships/hyperlink" Target="mailto:granty.ppgr@cppc.gov.pl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notes" Target="footnotes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<Relationship Id="rId20" Type="http://schemas.openxmlformats.org/officeDocument/2006/relationships/customXml" Target="../customXml/item2.xml"/><Relationship Id="rId21" Type="http://schemas.openxmlformats.org/officeDocument/2006/relationships/customXml" Target="../customXml/item3.xml"/><Relationship Id="rId2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E7B0B-6EC6-4D35-A8A7-B8A9F3341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9</Pages>
  <Words>2495</Words>
  <Characters>16396</Characters>
  <CharactersWithSpaces>18974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2021-10-08T06:40:00Z</dcterms:created>
  <dc:creator>Agnieszka Kurowska-Szczepańska</dc:creator>
  <dc:description/>
  <dc:language>pl-PL</dc:language>
  <cp:lastModifiedBy>Katarzyna Lasota-Woźny</cp:lastModifiedBy>
  <dcterms:modified xsi:type="dcterms:W3CDTF">2021-10-08T06:40:00Z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